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　研究目的與資料完整性</w:t>
      </w:r>
    </w:p>
    <w:p>
      <w:r>
        <w:t>法人交易強度＋價格趨勢：跨日持倉策略</w:t>
      </w:r>
    </w:p>
    <w:p>
      <w:r>
        <w:t>研究假說：三大法人持續的淨買進活動，若同時伴隨價格上升趨勢，可能比單日部位異常更能辨識可持續的多頭環境。本研究以20日法人交易強度與20日價格均線建立一口多單／空手規則，並以計入轉倉成本的台指期近月Buy-and-Hold比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資料</w:t>
            </w:r>
          </w:p>
        </w:tc>
        <w:tc>
          <w:tcPr>
            <w:tcW w:type="dxa" w:w="5156"/>
          </w:tcPr>
          <w:p>
            <w:r>
              <w:t>來源、期間與清理</w:t>
            </w:r>
          </w:p>
        </w:tc>
      </w:tr>
      <w:tr>
        <w:tc>
          <w:tcPr>
            <w:tcW w:type="dxa" w:w="5156"/>
          </w:tcPr>
          <w:p>
            <w:r>
              <w:t>TX日盤行情</w:t>
            </w:r>
          </w:p>
        </w:tc>
        <w:tc>
          <w:tcPr>
            <w:tcW w:type="dxa" w:w="5156"/>
          </w:tcPr>
          <w:p>
            <w:r>
              <w:t>TAIFEX年度ZIP及2026年月檔；2016/10/05～2026/10/05，2,438日、14,202筆實際月契約、126個契約。僅保留一般交易時段、六碼月契約。</w:t>
            </w:r>
          </w:p>
        </w:tc>
      </w:tr>
      <w:tr>
        <w:tc>
          <w:tcPr>
            <w:tcW w:type="dxa" w:w="5156"/>
          </w:tcPr>
          <w:p>
            <w:r>
              <w:t>三大法人交易</w:t>
            </w:r>
          </w:p>
        </w:tc>
        <w:tc>
          <w:tcPr>
            <w:tcW w:type="dxa" w:w="5156"/>
          </w:tcPr>
          <w:p>
            <w:r>
              <w:t>FinMind TX歷史資料＋使用者提供之TAIFEX格式原檔；2018/06/05～2026/10/05，2,030日、6,090筆三類法人資料。</w:t>
            </w:r>
          </w:p>
        </w:tc>
      </w:tr>
      <w:tr>
        <w:tc>
          <w:tcPr>
            <w:tcW w:type="dxa" w:w="5156"/>
          </w:tcPr>
          <w:p>
            <w:r>
              <w:t>正式回測期間</w:t>
            </w:r>
          </w:p>
        </w:tc>
        <w:tc>
          <w:tcPr>
            <w:tcW w:type="dxa" w:w="5156"/>
          </w:tcPr>
          <w:p>
            <w:r>
              <w:t>2018/08/31～2026/10/05，共1,968日，約8.1年。沿用前版共同起點，以便比較；本策略本身需要20日暖身。</w:t>
            </w:r>
          </w:p>
        </w:tc>
      </w:tr>
      <w:tr>
        <w:tc>
          <w:tcPr>
            <w:tcW w:type="dxa" w:w="5156"/>
          </w:tcPr>
          <w:p>
            <w:r>
              <w:t>缺漏處理</w:t>
            </w:r>
          </w:p>
        </w:tc>
        <w:tc>
          <w:tcPr>
            <w:tcW w:type="dxa" w:w="5156"/>
          </w:tcPr>
          <w:p>
            <w:r>
              <w:t>2016/10/05～2018/06/04缺408日籌碼，未補造。較早官方交易金額淨額空白，但本策略只用完整的交易口數。</w:t>
            </w:r>
          </w:p>
        </w:tc>
      </w:tr>
    </w:tbl>
    <w:p>
      <w:r>
        <w:t>較新期間以使用者原檔優先，避免資料供應商舊值差異；三類法人日期均與行情交易日曆一致。未刪除結算日，未混入MTX、週契約、夜盤或價差交易。原始月契約179筆OHLC缺價紀錄仍保留，但策略及基準實際使用的進出、轉倉與評價價格均完整。</w:t>
      </w:r>
    </w:p>
    <w:p>
      <w:r>
        <w:t>本策略是先前18個簡單候選中選出的版本，主報告固定這個規則後重跑。結果屬全樣本探索，沒有獨立、未接觸的樣本外測試；全部候選及選擇紀錄隨附件保存。</w:t>
      </w:r>
    </w:p>
    <w:p>
      <w:r>
        <w:t>主要結果：策略報酬32.78%、Sharpe 1.302、MDD 3.93%；基準報酬82.68%、Sharpe 1.108、MDD 11.12%。策略風險調整報酬較高，絕對收益較低。</w:t>
      </w:r>
    </w:p>
    <w:p>
      <w:r>
        <w:br w:type="page"/>
      </w:r>
    </w:p>
    <w:p>
      <w:pPr>
        <w:pStyle w:val="Heading1"/>
      </w:pPr>
      <w:r>
        <w:t>2　指標定義、經濟意涵與訊號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欄位／指標</w:t>
            </w:r>
          </w:p>
        </w:tc>
        <w:tc>
          <w:tcPr>
            <w:tcW w:type="dxa" w:w="5156"/>
          </w:tcPr>
          <w:p>
            <w:r>
              <w:t>定義與用途</w:t>
            </w:r>
          </w:p>
        </w:tc>
      </w:tr>
      <w:tr>
        <w:tc>
          <w:tcPr>
            <w:tcW w:type="dxa" w:w="5156"/>
          </w:tcPr>
          <w:p>
            <w:r>
              <w:t>日期／實際契約月份</w:t>
            </w:r>
          </w:p>
        </w:tc>
        <w:tc>
          <w:tcPr>
            <w:tcW w:type="dxa" w:w="5156"/>
          </w:tcPr>
          <w:p>
            <w:r>
              <w:t>交易日、TXYYYYMM；每日開、高、低、收都取同一實際月契約，未回溯調整。</w:t>
            </w:r>
          </w:p>
        </w:tc>
      </w:tr>
      <w:tr>
        <w:tc>
          <w:tcPr>
            <w:tcW w:type="dxa" w:w="5156"/>
          </w:tcPr>
          <w:p>
            <w:r>
              <w:t>多方／空方交易口數</w:t>
            </w:r>
          </w:p>
        </w:tc>
        <w:tc>
          <w:tcPr>
            <w:tcW w:type="dxa" w:w="5156"/>
          </w:tcPr>
          <w:p>
            <w:r>
              <w:t>法人當日買進／賣出成交口數。與仍未沖銷的未平倉口數是不同資料。[2]</w:t>
            </w:r>
          </w:p>
        </w:tc>
      </w:tr>
      <w:tr>
        <w:tc>
          <w:tcPr>
            <w:tcW w:type="dxa" w:w="5156"/>
          </w:tcPr>
          <w:p>
            <w:r>
              <w:t>法人淨交易口數 B</w:t>
            </w:r>
          </w:p>
        </w:tc>
        <w:tc>
          <w:tcPr>
            <w:tcW w:type="dxa" w:w="5156"/>
          </w:tcPr>
          <w:p>
            <w:r>
              <w:t>外資及陸資、投信、自營商的多方交易口數減空方交易口數，再合計。</w:t>
            </w:r>
          </w:p>
        </w:tc>
      </w:tr>
      <w:tr>
        <w:tc>
          <w:tcPr>
            <w:tcW w:type="dxa" w:w="5156"/>
          </w:tcPr>
          <w:p>
            <w:r>
              <w:t>法人總交易口數 V</w:t>
            </w:r>
          </w:p>
        </w:tc>
        <w:tc>
          <w:tcPr>
            <w:tcW w:type="dxa" w:w="5156"/>
          </w:tcPr>
          <w:p>
            <w:r>
              <w:t>三類法人多方與空方交易口數合計。只代表這三類法人，不是全市場成交量。</w:t>
            </w:r>
          </w:p>
        </w:tc>
      </w:tr>
      <w:tr>
        <w:tc>
          <w:tcPr>
            <w:tcW w:type="dxa" w:w="5156"/>
          </w:tcPr>
          <w:p>
            <w:r>
              <w:t>交易強度 Q=B/V</w:t>
            </w:r>
          </w:p>
        </w:tc>
        <w:tc>
          <w:tcPr>
            <w:tcW w:type="dxa" w:w="5156"/>
          </w:tcPr>
          <w:p>
            <w:r>
              <w:t>以口數標準化淨買進活動；B可為負，V為正。各類法人的成交流量可能含方向、避險與套利。</w:t>
            </w:r>
          </w:p>
        </w:tc>
      </w:tr>
      <w:tr>
        <w:tc>
          <w:tcPr>
            <w:tcW w:type="dxa" w:w="5156"/>
          </w:tcPr>
          <w:p>
            <w:r>
              <w:t>Q20／MA20</w:t>
            </w:r>
          </w:p>
        </w:tc>
        <w:tc>
          <w:tcPr>
            <w:tcW w:type="dxa" w:w="5156"/>
          </w:tcPr>
          <w:p>
            <w:r>
              <w:t>Q20為當日及前19交易日Q的算術平均；MA20為當日及前19日近月收盤均價。</w:t>
            </w:r>
          </w:p>
        </w:tc>
      </w:tr>
    </w:tbl>
    <w:p>
      <w:r>
        <w:t>例如三類法人合計淨買進5,000口、買賣總口數200,000口，交易強度為2.5%。20日平均為正，表示近期平均成交傾向淨買方；但它不是新增多單口數，也不能把多次買賣直接視為留倉增加。</w:t>
      </w:r>
    </w:p>
    <w:p>
      <w:r>
        <w:t>經濟直覺：持續淨買進可能反映資金配置或風險承擔；20日平均降低單日成交雜訊，價格高於MA20則要求市場價格同時呈現偏強狀態。這是「法人買方活動與價格趨勢一致」的條件假說，不預設它必然有預測能力。</w:t>
      </w:r>
    </w:p>
    <w:p>
      <w:r>
        <w:t>明確數學規則與資訊時序</w:t>
      </w:r>
    </w:p>
    <w:p>
      <w:r>
        <w:t>第t日盤後：若Q20_t&gt;0且收盤C_t&gt;MA20_t，則目標多一口；其他情況目標空手。Q20=0或C=MA20均不持有。訊號只在t+1交易日08:45開盤執行，不使用t+1收盤決定t+1開盤交易。</w:t>
      </w:r>
    </w:p>
    <w:p>
      <w:r>
        <w:t>原本空手且目標多單：買進；原本多單且條件持續：跨日持有、不加碼；任一條件消失：次日開盤全部平倉。無放空、無日內停損停利。OHLC保留作稽核，但不能重建夜盤及盤中成交路徑，所以不加入未經驗證的盤中觸價出場。</w:t>
      </w:r>
    </w:p>
    <w:p>
      <w:r>
        <w:t>交易日配對按官方行情日曆，不以自然日加一天。條件產生、成交、持倉及轉倉均可在逐日底稿追溯。</w:t>
      </w:r>
    </w:p>
    <w:p>
      <w:r>
        <w:br w:type="page"/>
      </w:r>
    </w:p>
    <w:p>
      <w:pPr>
        <w:pStyle w:val="Heading1"/>
      </w:pPr>
      <w:r>
        <w:t>3　交易執行、轉倉與完整成本</w:t>
      </w:r>
    </w:p>
    <w:p>
      <w:r>
        <w:t>策略按訊號隔日開盤進出；若跨月仍持有，於到期前一個交易日13:45平舊約並買次月。基準在首日開盤買一口，持續持有並採相同提前轉倉路徑。到期日期由官方契約存續底稿核對第三個星期三／休市順延規則。[1]</w:t>
      </w:r>
    </w:p>
    <w:p>
      <w:r>
        <w:t>提前一日換倉可避免到期近月13:30、次月13:45收盤時點不同；不用最後結算價替代成交價。若策略在換倉日開盤已退出，就不再換倉。兩者在樣本結束時收盤全平，這是帳戶終止清算，並非日常開盤買、收盤賣規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設定</w:t>
            </w:r>
          </w:p>
        </w:tc>
        <w:tc>
          <w:tcPr>
            <w:tcW w:type="dxa" w:w="5156"/>
          </w:tcPr>
          <w:p>
            <w:r>
              <w:t>策略與基準共同口徑</w:t>
            </w:r>
          </w:p>
        </w:tc>
      </w:tr>
      <w:tr>
        <w:tc>
          <w:tcPr>
            <w:tcW w:type="dxa" w:w="5156"/>
          </w:tcPr>
          <w:p>
            <w:r>
              <w:t>本金／口數／乘數</w:t>
            </w:r>
          </w:p>
        </w:tc>
        <w:tc>
          <w:tcPr>
            <w:tcW w:type="dxa" w:w="5156"/>
          </w:tcPr>
          <w:p>
            <w:r>
              <w:t>本金1,000萬元；固定一口、不加碼；每點200元。</w:t>
            </w:r>
          </w:p>
        </w:tc>
      </w:tr>
      <w:tr>
        <w:tc>
          <w:tcPr>
            <w:tcW w:type="dxa" w:w="5156"/>
          </w:tcPr>
          <w:p>
            <w:r>
              <w:t>手續費</w:t>
            </w:r>
          </w:p>
        </w:tc>
        <w:tc>
          <w:tcPr>
            <w:tcW w:type="dxa" w:w="5156"/>
          </w:tcPr>
          <w:p>
            <w:r>
              <w:t>每邊每口50元，假設為券商總手續費；未另重複加交易所經手費。[3]</w:t>
            </w:r>
          </w:p>
        </w:tc>
      </w:tr>
      <w:tr>
        <w:tc>
          <w:tcPr>
            <w:tcW w:type="dxa" w:w="5156"/>
          </w:tcPr>
          <w:p>
            <w:r>
              <w:t>滑價</w:t>
            </w:r>
          </w:p>
        </w:tc>
        <w:tc>
          <w:tcPr>
            <w:tcW w:type="dxa" w:w="5156"/>
          </w:tcPr>
          <w:p>
            <w:r>
              <w:t>每次成交2點：買進價+2、賣出價−2。初始進出、轉倉與期末平倉皆計。</w:t>
            </w:r>
          </w:p>
        </w:tc>
      </w:tr>
      <w:tr>
        <w:tc>
          <w:tcPr>
            <w:tcW w:type="dxa" w:w="5156"/>
          </w:tcPr>
          <w:p>
            <w:r>
              <w:t>期交稅</w:t>
            </w:r>
          </w:p>
        </w:tc>
        <w:tc>
          <w:tcPr>
            <w:tcW w:type="dxa" w:w="5156"/>
          </w:tcPr>
          <w:p>
            <w:r>
              <w:t>每邊按含滑價成交價×200×0.00002。連續金額近似，未逐筆取整。[3]</w:t>
            </w:r>
          </w:p>
        </w:tc>
      </w:tr>
      <w:tr>
        <w:tc>
          <w:tcPr>
            <w:tcW w:type="dxa" w:w="5156"/>
          </w:tcPr>
          <w:p>
            <w:r>
              <w:t>資金與槓桿</w:t>
            </w:r>
          </w:p>
        </w:tc>
        <w:tc>
          <w:tcPr>
            <w:tcW w:type="dxa" w:w="5156"/>
          </w:tcPr>
          <w:p>
            <w:r>
              <w:t>資金足以覆蓋完整契約名目價值及估計成本；全期通過。未使用保證金槓桿或重建歷史追繳。</w:t>
            </w:r>
          </w:p>
        </w:tc>
      </w:tr>
      <w:tr>
        <w:tc>
          <w:tcPr>
            <w:tcW w:type="dxa" w:w="5156"/>
          </w:tcPr>
          <w:p>
            <w:r>
              <w:t>日末評價與報酬</w:t>
            </w:r>
          </w:p>
        </w:tc>
        <w:tc>
          <w:tcPr>
            <w:tcW w:type="dxa" w:w="5156"/>
          </w:tcPr>
          <w:p>
            <w:r>
              <w:t>用收盤價評價總權益，非以每日結算價重建現金流。日損益／前日權益，含空手日。</w:t>
            </w:r>
          </w:p>
        </w:tc>
      </w:tr>
      <w:tr>
        <w:tc>
          <w:tcPr>
            <w:tcW w:type="dxa" w:w="5156"/>
          </w:tcPr>
          <w:p>
            <w:r>
              <w:t>年化與利息</w:t>
            </w:r>
          </w:p>
        </w:tc>
        <w:tc>
          <w:tcPr>
            <w:tcW w:type="dxa" w:w="5156"/>
          </w:tcPr>
          <w:p>
            <w:r>
              <w:t>現金利息及rf=0；Sharpe採252日；CAGR依實际起訖含首尾日／365.25。</w:t>
            </w:r>
          </w:p>
        </w:tc>
      </w:tr>
    </w:tbl>
    <w:p>
      <w:r>
        <w:t>持有日損益按同一實際契約今日收盤減昨日評價價；退出日先計舊持倉至開盤的損益，進場日從開盤計至收盤。換倉日先結束舊約損益，再將新約收盤設為新評價基準，成交各扣成本。新舊約價差不直接列為本日損益，也不另外重複扣費。</w:t>
      </w:r>
    </w:p>
    <w:p>
      <w:r>
        <w:t>策略147筆完整方向交易、37次轉倉、368個成交腿；基準98段契約交易、97次轉倉、196個成交腿。策略總成本192,063.42元，基準102,847.34元。逐日損益、方向交易及實際契約分段損益皆獨立核對一致。</w:t>
      </w:r>
    </w:p>
    <w:p>
      <w:r>
        <w:br w:type="page"/>
      </w:r>
    </w:p>
    <w:p>
      <w:pPr>
        <w:pStyle w:val="Heading1"/>
      </w:pPr>
      <w:r>
        <w:t>4　績效指標與年度比較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>
              <w:t>成本後指標</w:t>
            </w:r>
          </w:p>
        </w:tc>
        <w:tc>
          <w:tcPr>
            <w:tcW w:type="dxa" w:w="3437"/>
          </w:tcPr>
          <w:p>
            <w:r>
              <w:t>法人交易強度＋趨勢</w:t>
            </w:r>
          </w:p>
        </w:tc>
        <w:tc>
          <w:tcPr>
            <w:tcW w:type="dxa" w:w="3437"/>
          </w:tcPr>
          <w:p>
            <w:r>
              <w:t>Buy-and-Hold基準</w:t>
            </w:r>
          </w:p>
        </w:tc>
      </w:tr>
      <w:tr>
        <w:tc>
          <w:tcPr>
            <w:tcW w:type="dxa" w:w="3437"/>
          </w:tcPr>
          <w:p>
            <w:r>
              <w:t>累積總報酬</w:t>
            </w:r>
          </w:p>
        </w:tc>
        <w:tc>
          <w:tcPr>
            <w:tcW w:type="dxa" w:w="3437"/>
          </w:tcPr>
          <w:p>
            <w:r>
              <w:t>32.78%</w:t>
            </w:r>
          </w:p>
        </w:tc>
        <w:tc>
          <w:tcPr>
            <w:tcW w:type="dxa" w:w="3437"/>
          </w:tcPr>
          <w:p>
            <w:r>
              <w:t>82.68%</w:t>
            </w:r>
          </w:p>
        </w:tc>
      </w:tr>
      <w:tr>
        <w:tc>
          <w:tcPr>
            <w:tcW w:type="dxa" w:w="3437"/>
          </w:tcPr>
          <w:p>
            <w:r>
              <w:t>CAGR</w:t>
            </w:r>
          </w:p>
        </w:tc>
        <w:tc>
          <w:tcPr>
            <w:tcW w:type="dxa" w:w="3437"/>
          </w:tcPr>
          <w:p>
            <w:r>
              <w:t>3.56%</w:t>
            </w:r>
          </w:p>
        </w:tc>
        <w:tc>
          <w:tcPr>
            <w:tcW w:type="dxa" w:w="3437"/>
          </w:tcPr>
          <w:p>
            <w:r>
              <w:t>7.72%</w:t>
            </w:r>
          </w:p>
        </w:tc>
      </w:tr>
      <w:tr>
        <w:tc>
          <w:tcPr>
            <w:tcW w:type="dxa" w:w="3437"/>
          </w:tcPr>
          <w:p>
            <w:r>
              <w:t>期末資金（元）</w:t>
            </w:r>
          </w:p>
        </w:tc>
        <w:tc>
          <w:tcPr>
            <w:tcW w:type="dxa" w:w="3437"/>
          </w:tcPr>
          <w:p>
            <w:r>
              <w:t>13,277,536.58</w:t>
            </w:r>
          </w:p>
        </w:tc>
        <w:tc>
          <w:tcPr>
            <w:tcW w:type="dxa" w:w="3437"/>
          </w:tcPr>
          <w:p>
            <w:r>
              <w:t>18,268,352.66</w:t>
            </w:r>
          </w:p>
        </w:tc>
      </w:tr>
      <w:tr>
        <w:tc>
          <w:tcPr>
            <w:tcW w:type="dxa" w:w="3437"/>
          </w:tcPr>
          <w:p>
            <w:r>
              <w:t>交易次數／段數</w:t>
            </w:r>
          </w:p>
        </w:tc>
        <w:tc>
          <w:tcPr>
            <w:tcW w:type="dxa" w:w="3437"/>
          </w:tcPr>
          <w:p>
            <w:r>
              <w:t>147</w:t>
            </w:r>
          </w:p>
        </w:tc>
        <w:tc>
          <w:tcPr>
            <w:tcW w:type="dxa" w:w="3437"/>
          </w:tcPr>
          <w:p>
            <w:r>
              <w:t>98</w:t>
            </w:r>
          </w:p>
        </w:tc>
      </w:tr>
      <w:tr>
        <w:tc>
          <w:tcPr>
            <w:tcW w:type="dxa" w:w="3437"/>
          </w:tcPr>
          <w:p>
            <w:r>
              <w:t>勝率</w:t>
            </w:r>
          </w:p>
        </w:tc>
        <w:tc>
          <w:tcPr>
            <w:tcW w:type="dxa" w:w="3437"/>
          </w:tcPr>
          <w:p>
            <w:r>
              <w:t>51.70%</w:t>
            </w:r>
          </w:p>
        </w:tc>
        <w:tc>
          <w:tcPr>
            <w:tcW w:type="dxa" w:w="3437"/>
          </w:tcPr>
          <w:p>
            <w:r>
              <w:t>67.35%</w:t>
            </w:r>
          </w:p>
        </w:tc>
      </w:tr>
      <w:tr>
        <w:tc>
          <w:tcPr>
            <w:tcW w:type="dxa" w:w="3437"/>
          </w:tcPr>
          <w:p>
            <w:r>
              <w:t>Profit Factor</w:t>
            </w:r>
          </w:p>
        </w:tc>
        <w:tc>
          <w:tcPr>
            <w:tcW w:type="dxa" w:w="3437"/>
          </w:tcPr>
          <w:p>
            <w:r>
              <w:t>2.197</w:t>
            </w:r>
          </w:p>
        </w:tc>
        <w:tc>
          <w:tcPr>
            <w:tcW w:type="dxa" w:w="3437"/>
          </w:tcPr>
          <w:p>
            <w:r>
              <w:t>2.846</w:t>
            </w:r>
          </w:p>
        </w:tc>
      </w:tr>
      <w:tr>
        <w:tc>
          <w:tcPr>
            <w:tcW w:type="dxa" w:w="3437"/>
          </w:tcPr>
          <w:p>
            <w:r>
              <w:t>最大回撤（元）</w:t>
            </w:r>
          </w:p>
        </w:tc>
        <w:tc>
          <w:tcPr>
            <w:tcW w:type="dxa" w:w="3437"/>
          </w:tcPr>
          <w:p>
            <w:r>
              <w:t>487,118.76</w:t>
            </w:r>
          </w:p>
        </w:tc>
        <w:tc>
          <w:tcPr>
            <w:tcW w:type="dxa" w:w="3437"/>
          </w:tcPr>
          <w:p>
            <w:r>
              <w:t>1,693,859.80</w:t>
            </w:r>
          </w:p>
        </w:tc>
      </w:tr>
      <w:tr>
        <w:tc>
          <w:tcPr>
            <w:tcW w:type="dxa" w:w="3437"/>
          </w:tcPr>
          <w:p>
            <w:r>
              <w:t>最大回撤（%）</w:t>
            </w:r>
          </w:p>
        </w:tc>
        <w:tc>
          <w:tcPr>
            <w:tcW w:type="dxa" w:w="3437"/>
          </w:tcPr>
          <w:p>
            <w:r>
              <w:t>3.93%</w:t>
            </w:r>
          </w:p>
        </w:tc>
        <w:tc>
          <w:tcPr>
            <w:tcW w:type="dxa" w:w="3437"/>
          </w:tcPr>
          <w:p>
            <w:r>
              <w:t>11.12%</w:t>
            </w:r>
          </w:p>
        </w:tc>
      </w:tr>
      <w:tr>
        <w:tc>
          <w:tcPr>
            <w:tcW w:type="dxa" w:w="3437"/>
          </w:tcPr>
          <w:p>
            <w:r>
              <w:t>最長回撤：交易日</w:t>
            </w:r>
          </w:p>
        </w:tc>
        <w:tc>
          <w:tcPr>
            <w:tcW w:type="dxa" w:w="3437"/>
          </w:tcPr>
          <w:p>
            <w:r>
              <w:t>482</w:t>
            </w:r>
          </w:p>
        </w:tc>
        <w:tc>
          <w:tcPr>
            <w:tcW w:type="dxa" w:w="3437"/>
          </w:tcPr>
          <w:p>
            <w:r>
              <w:t>366</w:t>
            </w:r>
          </w:p>
        </w:tc>
      </w:tr>
      <w:tr>
        <w:tc>
          <w:tcPr>
            <w:tcW w:type="dxa" w:w="3437"/>
          </w:tcPr>
          <w:p>
            <w:r>
              <w:t>最長回撤：日曆日</w:t>
            </w:r>
          </w:p>
        </w:tc>
        <w:tc>
          <w:tcPr>
            <w:tcW w:type="dxa" w:w="3437"/>
          </w:tcPr>
          <w:p>
            <w:r>
              <w:t>722</w:t>
            </w:r>
          </w:p>
        </w:tc>
        <w:tc>
          <w:tcPr>
            <w:tcW w:type="dxa" w:w="3437"/>
          </w:tcPr>
          <w:p>
            <w:r>
              <w:t>555</w:t>
            </w:r>
          </w:p>
        </w:tc>
      </w:tr>
      <w:tr>
        <w:tc>
          <w:tcPr>
            <w:tcW w:type="dxa" w:w="3437"/>
          </w:tcPr>
          <w:p>
            <w:r>
              <w:t>Sharpe（rf=0）</w:t>
            </w:r>
          </w:p>
        </w:tc>
        <w:tc>
          <w:tcPr>
            <w:tcW w:type="dxa" w:w="3437"/>
          </w:tcPr>
          <w:p>
            <w:r>
              <w:t>1.302</w:t>
            </w:r>
          </w:p>
        </w:tc>
        <w:tc>
          <w:tcPr>
            <w:tcW w:type="dxa" w:w="3437"/>
          </w:tcPr>
          <w:p>
            <w:r>
              <w:t>1.108</w:t>
            </w:r>
          </w:p>
        </w:tc>
      </w:tr>
      <w:tr>
        <w:tc>
          <w:tcPr>
            <w:tcW w:type="dxa" w:w="3437"/>
          </w:tcPr>
          <w:p>
            <w:r>
              <w:t>Calmar</w:t>
            </w:r>
          </w:p>
        </w:tc>
        <w:tc>
          <w:tcPr>
            <w:tcW w:type="dxa" w:w="3437"/>
          </w:tcPr>
          <w:p>
            <w:r>
              <w:t>0.906</w:t>
            </w:r>
          </w:p>
        </w:tc>
        <w:tc>
          <w:tcPr>
            <w:tcW w:type="dxa" w:w="3437"/>
          </w:tcPr>
          <w:p>
            <w:r>
              <w:t>0.694</w:t>
            </w:r>
          </w:p>
        </w:tc>
      </w:tr>
      <w:tr>
        <w:tc>
          <w:tcPr>
            <w:tcW w:type="dxa" w:w="3437"/>
          </w:tcPr>
          <w:p>
            <w:r>
              <w:t>年化波動</w:t>
            </w:r>
          </w:p>
        </w:tc>
        <w:tc>
          <w:tcPr>
            <w:tcW w:type="dxa" w:w="3437"/>
          </w:tcPr>
          <w:p>
            <w:r>
              <w:t>2.82%</w:t>
            </w:r>
          </w:p>
        </w:tc>
        <w:tc>
          <w:tcPr>
            <w:tcW w:type="dxa" w:w="3437"/>
          </w:tcPr>
          <w:p>
            <w:r>
              <w:t>7.20%</w:t>
            </w:r>
          </w:p>
        </w:tc>
      </w:tr>
      <w:tr>
        <w:tc>
          <w:tcPr>
            <w:tcW w:type="dxa" w:w="3437"/>
          </w:tcPr>
          <w:p>
            <w:r>
              <w:t>全部成本（元）</w:t>
            </w:r>
          </w:p>
        </w:tc>
        <w:tc>
          <w:tcPr>
            <w:tcW w:type="dxa" w:w="3437"/>
          </w:tcPr>
          <w:p>
            <w:r>
              <w:t>192,063.42</w:t>
            </w:r>
          </w:p>
        </w:tc>
        <w:tc>
          <w:tcPr>
            <w:tcW w:type="dxa" w:w="3437"/>
          </w:tcPr>
          <w:p>
            <w:r>
              <w:t>102,847.34</w:t>
            </w:r>
          </w:p>
        </w:tc>
      </w:tr>
    </w:tbl>
    <w:p>
      <w:r>
        <w:t>同期間、同本金、同一口。策略按一次進場至訊號退出計交易，合併轉倉成本；基準在每次換月結束一段交易。因此勝率／PF的持有頻率不同。MDD金額及比例各自取全期最大值，可能發生於不同日期。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</w:tcPr>
          <w:p>
            <w:r>
              <w:t>年度</w:t>
            </w:r>
          </w:p>
        </w:tc>
        <w:tc>
          <w:tcPr>
            <w:tcW w:type="dxa" w:w="2062"/>
          </w:tcPr>
          <w:p>
            <w:r>
              <w:t>策略損益（元）</w:t>
            </w:r>
          </w:p>
        </w:tc>
        <w:tc>
          <w:tcPr>
            <w:tcW w:type="dxa" w:w="2062"/>
          </w:tcPr>
          <w:p>
            <w:r>
              <w:t>策略報酬</w:t>
            </w:r>
          </w:p>
        </w:tc>
        <w:tc>
          <w:tcPr>
            <w:tcW w:type="dxa" w:w="2062"/>
          </w:tcPr>
          <w:p>
            <w:r>
              <w:t>基準損益（元）</w:t>
            </w:r>
          </w:p>
        </w:tc>
        <w:tc>
          <w:tcPr>
            <w:tcW w:type="dxa" w:w="2062"/>
          </w:tcPr>
          <w:p>
            <w:r>
              <w:t>基準報酬</w:t>
            </w:r>
          </w:p>
        </w:tc>
      </w:tr>
      <w:tr>
        <w:tc>
          <w:tcPr>
            <w:tcW w:type="dxa" w:w="2062"/>
          </w:tcPr>
          <w:p>
            <w:r>
              <w:t>2018</w:t>
            </w:r>
          </w:p>
        </w:tc>
        <w:tc>
          <w:tcPr>
            <w:tcW w:type="dxa" w:w="2062"/>
          </w:tcPr>
          <w:p>
            <w:r>
              <w:t>-144,387</w:t>
            </w:r>
          </w:p>
        </w:tc>
        <w:tc>
          <w:tcPr>
            <w:tcW w:type="dxa" w:w="2062"/>
          </w:tcPr>
          <w:p>
            <w:r>
              <w:t>-1.44%</w:t>
            </w:r>
          </w:p>
        </w:tc>
        <w:tc>
          <w:tcPr>
            <w:tcW w:type="dxa" w:w="2062"/>
          </w:tcPr>
          <w:p>
            <w:r>
              <w:t>-247,015</w:t>
            </w:r>
          </w:p>
        </w:tc>
        <w:tc>
          <w:tcPr>
            <w:tcW w:type="dxa" w:w="2062"/>
          </w:tcPr>
          <w:p>
            <w:r>
              <w:t>-2.47%</w:t>
            </w:r>
          </w:p>
        </w:tc>
      </w:tr>
      <w:tr>
        <w:tc>
          <w:tcPr>
            <w:tcW w:type="dxa" w:w="2062"/>
          </w:tcPr>
          <w:p>
            <w:r>
              <w:t>2019</w:t>
            </w:r>
          </w:p>
        </w:tc>
        <w:tc>
          <w:tcPr>
            <w:tcW w:type="dxa" w:w="2062"/>
          </w:tcPr>
          <w:p>
            <w:r>
              <w:t>439,590</w:t>
            </w:r>
          </w:p>
        </w:tc>
        <w:tc>
          <w:tcPr>
            <w:tcW w:type="dxa" w:w="2062"/>
          </w:tcPr>
          <w:p>
            <w:r>
              <w:t>4.46%</w:t>
            </w:r>
          </w:p>
        </w:tc>
        <w:tc>
          <w:tcPr>
            <w:tcW w:type="dxa" w:w="2062"/>
          </w:tcPr>
          <w:p>
            <w:r>
              <w:t>548,965</w:t>
            </w:r>
          </w:p>
        </w:tc>
        <w:tc>
          <w:tcPr>
            <w:tcW w:type="dxa" w:w="2062"/>
          </w:tcPr>
          <w:p>
            <w:r>
              <w:t>5.63%</w:t>
            </w:r>
          </w:p>
        </w:tc>
      </w:tr>
      <w:tr>
        <w:tc>
          <w:tcPr>
            <w:tcW w:type="dxa" w:w="2062"/>
          </w:tcPr>
          <w:p>
            <w:r>
              <w:t>2020</w:t>
            </w:r>
          </w:p>
        </w:tc>
        <w:tc>
          <w:tcPr>
            <w:tcW w:type="dxa" w:w="2062"/>
          </w:tcPr>
          <w:p>
            <w:r>
              <w:t>639,655</w:t>
            </w:r>
          </w:p>
        </w:tc>
        <w:tc>
          <w:tcPr>
            <w:tcW w:type="dxa" w:w="2062"/>
          </w:tcPr>
          <w:p>
            <w:r>
              <w:t>6.21%</w:t>
            </w:r>
          </w:p>
        </w:tc>
        <w:tc>
          <w:tcPr>
            <w:tcW w:type="dxa" w:w="2062"/>
          </w:tcPr>
          <w:p>
            <w:r>
              <w:t>733,649</w:t>
            </w:r>
          </w:p>
        </w:tc>
        <w:tc>
          <w:tcPr>
            <w:tcW w:type="dxa" w:w="2062"/>
          </w:tcPr>
          <w:p>
            <w:r>
              <w:t>7.12%</w:t>
            </w:r>
          </w:p>
        </w:tc>
      </w:tr>
      <w:tr>
        <w:tc>
          <w:tcPr>
            <w:tcW w:type="dxa" w:w="2062"/>
          </w:tcPr>
          <w:p>
            <w:r>
              <w:t>2021</w:t>
            </w:r>
          </w:p>
        </w:tc>
        <w:tc>
          <w:tcPr>
            <w:tcW w:type="dxa" w:w="2062"/>
          </w:tcPr>
          <w:p>
            <w:r>
              <w:t>194,363</w:t>
            </w:r>
          </w:p>
        </w:tc>
        <w:tc>
          <w:tcPr>
            <w:tcW w:type="dxa" w:w="2062"/>
          </w:tcPr>
          <w:p>
            <w:r>
              <w:t>1.78%</w:t>
            </w:r>
          </w:p>
        </w:tc>
        <w:tc>
          <w:tcPr>
            <w:tcW w:type="dxa" w:w="2062"/>
          </w:tcPr>
          <w:p>
            <w:r>
              <w:t>884,182</w:t>
            </w:r>
          </w:p>
        </w:tc>
        <w:tc>
          <w:tcPr>
            <w:tcW w:type="dxa" w:w="2062"/>
          </w:tcPr>
          <w:p>
            <w:r>
              <w:t>8.01%</w:t>
            </w:r>
          </w:p>
        </w:tc>
      </w:tr>
      <w:tr>
        <w:tc>
          <w:tcPr>
            <w:tcW w:type="dxa" w:w="2062"/>
          </w:tcPr>
          <w:p>
            <w:r>
              <w:t>2022</w:t>
            </w:r>
          </w:p>
        </w:tc>
        <w:tc>
          <w:tcPr>
            <w:tcW w:type="dxa" w:w="2062"/>
          </w:tcPr>
          <w:p>
            <w:r>
              <w:t>-46,253</w:t>
            </w:r>
          </w:p>
        </w:tc>
        <w:tc>
          <w:tcPr>
            <w:tcW w:type="dxa" w:w="2062"/>
          </w:tcPr>
          <w:p>
            <w:r>
              <w:t>-0.42%</w:t>
            </w:r>
          </w:p>
        </w:tc>
        <w:tc>
          <w:tcPr>
            <w:tcW w:type="dxa" w:w="2062"/>
          </w:tcPr>
          <w:p>
            <w:r>
              <w:t>-624,106</w:t>
            </w:r>
          </w:p>
        </w:tc>
        <w:tc>
          <w:tcPr>
            <w:tcW w:type="dxa" w:w="2062"/>
          </w:tcPr>
          <w:p>
            <w:r>
              <w:t>-5.24%</w:t>
            </w:r>
          </w:p>
        </w:tc>
      </w:tr>
      <w:tr>
        <w:tc>
          <w:tcPr>
            <w:tcW w:type="dxa" w:w="2062"/>
          </w:tcPr>
          <w:p>
            <w:r>
              <w:t>2023</w:t>
            </w:r>
          </w:p>
        </w:tc>
        <w:tc>
          <w:tcPr>
            <w:tcW w:type="dxa" w:w="2062"/>
          </w:tcPr>
          <w:p>
            <w:r>
              <w:t>192,431</w:t>
            </w:r>
          </w:p>
        </w:tc>
        <w:tc>
          <w:tcPr>
            <w:tcW w:type="dxa" w:w="2062"/>
          </w:tcPr>
          <w:p>
            <w:r>
              <w:t>1.74%</w:t>
            </w:r>
          </w:p>
        </w:tc>
        <w:tc>
          <w:tcPr>
            <w:tcW w:type="dxa" w:w="2062"/>
          </w:tcPr>
          <w:p>
            <w:r>
              <w:t>811,432</w:t>
            </w:r>
          </w:p>
        </w:tc>
        <w:tc>
          <w:tcPr>
            <w:tcW w:type="dxa" w:w="2062"/>
          </w:tcPr>
          <w:p>
            <w:r>
              <w:t>7.18%</w:t>
            </w:r>
          </w:p>
        </w:tc>
      </w:tr>
      <w:tr>
        <w:tc>
          <w:tcPr>
            <w:tcW w:type="dxa" w:w="2062"/>
          </w:tcPr>
          <w:p>
            <w:r>
              <w:t>2024</w:t>
            </w:r>
          </w:p>
        </w:tc>
        <w:tc>
          <w:tcPr>
            <w:tcW w:type="dxa" w:w="2062"/>
          </w:tcPr>
          <w:p>
            <w:r>
              <w:t>-21,064</w:t>
            </w:r>
          </w:p>
        </w:tc>
        <w:tc>
          <w:tcPr>
            <w:tcW w:type="dxa" w:w="2062"/>
          </w:tcPr>
          <w:p>
            <w:r>
              <w:t>-0.19%</w:t>
            </w:r>
          </w:p>
        </w:tc>
        <w:tc>
          <w:tcPr>
            <w:tcW w:type="dxa" w:w="2062"/>
          </w:tcPr>
          <w:p>
            <w:r>
              <w:t>999,143</w:t>
            </w:r>
          </w:p>
        </w:tc>
        <w:tc>
          <w:tcPr>
            <w:tcW w:type="dxa" w:w="2062"/>
          </w:tcPr>
          <w:p>
            <w:r>
              <w:t>8.25%</w:t>
            </w:r>
          </w:p>
        </w:tc>
      </w:tr>
      <w:tr>
        <w:tc>
          <w:tcPr>
            <w:tcW w:type="dxa" w:w="2062"/>
          </w:tcPr>
          <w:p>
            <w:r>
              <w:t>2025</w:t>
            </w:r>
          </w:p>
        </w:tc>
        <w:tc>
          <w:tcPr>
            <w:tcW w:type="dxa" w:w="2062"/>
          </w:tcPr>
          <w:p>
            <w:r>
              <w:t>771,097</w:t>
            </w:r>
          </w:p>
        </w:tc>
        <w:tc>
          <w:tcPr>
            <w:tcW w:type="dxa" w:w="2062"/>
          </w:tcPr>
          <w:p>
            <w:r>
              <w:t>6.85%</w:t>
            </w:r>
          </w:p>
        </w:tc>
        <w:tc>
          <w:tcPr>
            <w:tcW w:type="dxa" w:w="2062"/>
          </w:tcPr>
          <w:p>
            <w:r>
              <w:t>1,268,113</w:t>
            </w:r>
          </w:p>
        </w:tc>
        <w:tc>
          <w:tcPr>
            <w:tcW w:type="dxa" w:w="2062"/>
          </w:tcPr>
          <w:p>
            <w:r>
              <w:t>9.68%</w:t>
            </w:r>
          </w:p>
        </w:tc>
      </w:tr>
      <w:tr>
        <w:tc>
          <w:tcPr>
            <w:tcW w:type="dxa" w:w="2062"/>
          </w:tcPr>
          <w:p>
            <w:r>
              <w:t>2026</w:t>
            </w:r>
          </w:p>
        </w:tc>
        <w:tc>
          <w:tcPr>
            <w:tcW w:type="dxa" w:w="2062"/>
          </w:tcPr>
          <w:p>
            <w:r>
              <w:t>1,252,106</w:t>
            </w:r>
          </w:p>
        </w:tc>
        <w:tc>
          <w:tcPr>
            <w:tcW w:type="dxa" w:w="2062"/>
          </w:tcPr>
          <w:p>
            <w:r>
              <w:t>10.41%</w:t>
            </w:r>
          </w:p>
        </w:tc>
        <w:tc>
          <w:tcPr>
            <w:tcW w:type="dxa" w:w="2062"/>
          </w:tcPr>
          <w:p>
            <w:r>
              <w:t>3,893,988</w:t>
            </w:r>
          </w:p>
        </w:tc>
        <w:tc>
          <w:tcPr>
            <w:tcW w:type="dxa" w:w="2062"/>
          </w:tcPr>
          <w:p>
            <w:r>
              <w:t>27.09%</w:t>
            </w:r>
          </w:p>
        </w:tc>
      </w:tr>
    </w:tbl>
    <w:p>
      <w:r>
        <w:t>2018、2026為部分年度；年度報酬未年化，以該年首日損益前權益為分母。PF=淨正損益合計／淨負損益絕對值合計。最長回撤包含期末未恢復區間，含初始本金高點及空手日。</w:t>
      </w:r>
    </w:p>
    <w:p>
      <w:r>
        <w:br w:type="page"/>
      </w:r>
    </w:p>
    <w:p>
      <w:pPr>
        <w:pStyle w:val="Heading1"/>
      </w:pPr>
      <w:r>
        <w:t>5　資金曲線、回撤與風險配平診斷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6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_lo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圖一：左為線性Y軸、右為對數Y軸。兩者皆自1,000萬元起始並扣除所有成交與轉倉成本；log-y版本只改變視覺尺度，不改變任何報酬或風險計算。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derwater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圖二：日末權益相對含初始本金的歷史高點回撤。策略MDD 3.93%，基準11.12%；策略回撤較淺，但固定一口比較同時含有不同市場曝險。</w:t>
      </w:r>
    </w:p>
    <w:p>
      <w:r>
        <w:t>事後波動配平診斷（不可直接交易）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>
              <w:t>指標</w:t>
            </w:r>
          </w:p>
        </w:tc>
        <w:tc>
          <w:tcPr>
            <w:tcW w:type="dxa" w:w="3437"/>
          </w:tcPr>
          <w:p>
            <w:r>
              <w:t>固定一口基準</w:t>
            </w:r>
          </w:p>
        </w:tc>
        <w:tc>
          <w:tcPr>
            <w:tcW w:type="dxa" w:w="3437"/>
          </w:tcPr>
          <w:p>
            <w:r>
              <w:t>波動配平診斷</w:t>
            </w:r>
          </w:p>
        </w:tc>
      </w:tr>
      <w:tr>
        <w:tc>
          <w:tcPr>
            <w:tcW w:type="dxa" w:w="3437"/>
          </w:tcPr>
          <w:p>
            <w:r>
              <w:t>TX-equivalent</w:t>
            </w:r>
          </w:p>
        </w:tc>
        <w:tc>
          <w:tcPr>
            <w:tcW w:type="dxa" w:w="3437"/>
          </w:tcPr>
          <w:p>
            <w:r>
              <w:t>1.000</w:t>
            </w:r>
          </w:p>
        </w:tc>
        <w:tc>
          <w:tcPr>
            <w:tcW w:type="dxa" w:w="3437"/>
          </w:tcPr>
          <w:p>
            <w:r>
              <w:t>0.315</w:t>
            </w:r>
          </w:p>
        </w:tc>
      </w:tr>
      <w:tr>
        <w:tc>
          <w:tcPr>
            <w:tcW w:type="dxa" w:w="3437"/>
          </w:tcPr>
          <w:p>
            <w:r>
              <w:t>年化波動</w:t>
            </w:r>
          </w:p>
        </w:tc>
        <w:tc>
          <w:tcPr>
            <w:tcW w:type="dxa" w:w="3437"/>
          </w:tcPr>
          <w:p>
            <w:r>
              <w:t>7.20%</w:t>
            </w:r>
          </w:p>
        </w:tc>
        <w:tc>
          <w:tcPr>
            <w:tcW w:type="dxa" w:w="3437"/>
          </w:tcPr>
          <w:p>
            <w:r>
              <w:t>2.82%</w:t>
            </w:r>
          </w:p>
        </w:tc>
      </w:tr>
      <w:tr>
        <w:tc>
          <w:tcPr>
            <w:tcW w:type="dxa" w:w="3437"/>
          </w:tcPr>
          <w:p>
            <w:r>
              <w:t>CAGR</w:t>
            </w:r>
          </w:p>
        </w:tc>
        <w:tc>
          <w:tcPr>
            <w:tcW w:type="dxa" w:w="3437"/>
          </w:tcPr>
          <w:p>
            <w:r>
              <w:t>7.72%</w:t>
            </w:r>
          </w:p>
        </w:tc>
        <w:tc>
          <w:tcPr>
            <w:tcW w:type="dxa" w:w="3437"/>
          </w:tcPr>
          <w:p>
            <w:r>
              <w:t>2.90%</w:t>
            </w:r>
          </w:p>
        </w:tc>
      </w:tr>
      <w:tr>
        <w:tc>
          <w:tcPr>
            <w:tcW w:type="dxa" w:w="3437"/>
          </w:tcPr>
          <w:p>
            <w:r>
              <w:t>Sharpe</w:t>
            </w:r>
          </w:p>
        </w:tc>
        <w:tc>
          <w:tcPr>
            <w:tcW w:type="dxa" w:w="3437"/>
          </w:tcPr>
          <w:p>
            <w:r>
              <w:t>1.108</w:t>
            </w:r>
          </w:p>
        </w:tc>
        <w:tc>
          <w:tcPr>
            <w:tcW w:type="dxa" w:w="3437"/>
          </w:tcPr>
          <w:p>
            <w:r>
              <w:t>1.066</w:t>
            </w:r>
          </w:p>
        </w:tc>
      </w:tr>
      <w:tr>
        <w:tc>
          <w:tcPr>
            <w:tcW w:type="dxa" w:w="3437"/>
          </w:tcPr>
          <w:p>
            <w:r>
              <w:t>MDD</w:t>
            </w:r>
          </w:p>
        </w:tc>
        <w:tc>
          <w:tcPr>
            <w:tcW w:type="dxa" w:w="3437"/>
          </w:tcPr>
          <w:p>
            <w:r>
              <w:t>11.12%</w:t>
            </w:r>
          </w:p>
        </w:tc>
        <w:tc>
          <w:tcPr>
            <w:tcW w:type="dxa" w:w="3437"/>
          </w:tcPr>
          <w:p>
            <w:r>
              <w:t>4.25%</w:t>
            </w:r>
          </w:p>
        </w:tc>
      </w:tr>
      <w:tr>
        <w:tc>
          <w:tcPr>
            <w:tcW w:type="dxa" w:w="3437"/>
          </w:tcPr>
          <w:p>
            <w:r>
              <w:t>Calmar</w:t>
            </w:r>
          </w:p>
        </w:tc>
        <w:tc>
          <w:tcPr>
            <w:tcW w:type="dxa" w:w="3437"/>
          </w:tcPr>
          <w:p>
            <w:r>
              <w:t>0.694</w:t>
            </w:r>
          </w:p>
        </w:tc>
        <w:tc>
          <w:tcPr>
            <w:tcW w:type="dxa" w:w="3437"/>
          </w:tcPr>
          <w:p>
            <w:r>
              <w:t>0.682</w:t>
            </w:r>
          </w:p>
        </w:tc>
      </w:tr>
    </w:tbl>
    <w:p>
      <w:r>
        <w:t>配平係數以完整樣本事後求得，使基準年化波動由7.20%降至策略的2.82%；結果約為0.315口TX-equivalent。基準毛損益、手續費、稅與滑價成本都按同一比例縮放，因此只是風險比較診斷，不代表可實際下單的整口TX策略。</w:t>
      </w:r>
    </w:p>
    <w:p>
      <w:r>
        <w:t>固定一口仍是主結果，因為它可直接對應實際合約；波動配平只用來避免把策略較低MDD完全誤解為訊號本身的優勢。圖表也沒有盤中及夜盤評價，不能代表最壞瞬時損失或精確保證金風險。</w:t>
      </w:r>
    </w:p>
    <w:p>
      <w:r>
        <w:br w:type="page"/>
      </w:r>
    </w:p>
    <w:p>
      <w:pPr>
        <w:pStyle w:val="Heading1"/>
      </w:pPr>
      <w:r>
        <w:t>6　成本敏感度與條件診斷</w:t>
      </w:r>
    </w:p>
    <w:p>
      <w:r>
        <w:t>滑價增加後是否仍保留成果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</w:tcPr>
          <w:p>
            <w:r>
              <w:t>每邊滑價</w:t>
            </w:r>
          </w:p>
        </w:tc>
        <w:tc>
          <w:tcPr>
            <w:tcW w:type="dxa" w:w="2062"/>
          </w:tcPr>
          <w:p>
            <w:r>
              <w:t>策略報酬</w:t>
            </w:r>
          </w:p>
        </w:tc>
        <w:tc>
          <w:tcPr>
            <w:tcW w:type="dxa" w:w="2062"/>
          </w:tcPr>
          <w:p>
            <w:r>
              <w:t>策略Sharpe</w:t>
            </w:r>
          </w:p>
        </w:tc>
        <w:tc>
          <w:tcPr>
            <w:tcW w:type="dxa" w:w="2062"/>
          </w:tcPr>
          <w:p>
            <w:r>
              <w:t>基準報酬</w:t>
            </w:r>
          </w:p>
        </w:tc>
        <w:tc>
          <w:tcPr>
            <w:tcW w:type="dxa" w:w="2062"/>
          </w:tcPr>
          <w:p>
            <w:r>
              <w:t>基準Sharpe</w:t>
            </w:r>
          </w:p>
        </w:tc>
      </w:tr>
      <w:tr>
        <w:tc>
          <w:tcPr>
            <w:tcW w:type="dxa" w:w="2062"/>
          </w:tcPr>
          <w:p>
            <w:r>
              <w:t>1點</w:t>
            </w:r>
          </w:p>
        </w:tc>
        <w:tc>
          <w:tcPr>
            <w:tcW w:type="dxa" w:w="2062"/>
          </w:tcPr>
          <w:p>
            <w:r>
              <w:t>33.51%</w:t>
            </w:r>
          </w:p>
        </w:tc>
        <w:tc>
          <w:tcPr>
            <w:tcW w:type="dxa" w:w="2062"/>
          </w:tcPr>
          <w:p>
            <w:r>
              <w:t>1.333</w:t>
            </w:r>
          </w:p>
        </w:tc>
        <w:tc>
          <w:tcPr>
            <w:tcW w:type="dxa" w:w="2062"/>
          </w:tcPr>
          <w:p>
            <w:r>
              <w:t>83.08%</w:t>
            </w:r>
          </w:p>
        </w:tc>
        <w:tc>
          <w:tcPr>
            <w:tcW w:type="dxa" w:w="2062"/>
          </w:tcPr>
          <w:p>
            <w:r>
              <w:t>1.114</w:t>
            </w:r>
          </w:p>
        </w:tc>
      </w:tr>
      <w:tr>
        <w:tc>
          <w:tcPr>
            <w:tcW w:type="dxa" w:w="2062"/>
          </w:tcPr>
          <w:p>
            <w:r>
              <w:t>2點</w:t>
            </w:r>
          </w:p>
        </w:tc>
        <w:tc>
          <w:tcPr>
            <w:tcW w:type="dxa" w:w="2062"/>
          </w:tcPr>
          <w:p>
            <w:r>
              <w:t>32.78%</w:t>
            </w:r>
          </w:p>
        </w:tc>
        <w:tc>
          <w:tcPr>
            <w:tcW w:type="dxa" w:w="2062"/>
          </w:tcPr>
          <w:p>
            <w:r>
              <w:t>1.302</w:t>
            </w:r>
          </w:p>
        </w:tc>
        <w:tc>
          <w:tcPr>
            <w:tcW w:type="dxa" w:w="2062"/>
          </w:tcPr>
          <w:p>
            <w:r>
              <w:t>82.68%</w:t>
            </w:r>
          </w:p>
        </w:tc>
        <w:tc>
          <w:tcPr>
            <w:tcW w:type="dxa" w:w="2062"/>
          </w:tcPr>
          <w:p>
            <w:r>
              <w:t>1.108</w:t>
            </w:r>
          </w:p>
        </w:tc>
      </w:tr>
      <w:tr>
        <w:tc>
          <w:tcPr>
            <w:tcW w:type="dxa" w:w="2062"/>
          </w:tcPr>
          <w:p>
            <w:r>
              <w:t>4點</w:t>
            </w:r>
          </w:p>
        </w:tc>
        <w:tc>
          <w:tcPr>
            <w:tcW w:type="dxa" w:w="2062"/>
          </w:tcPr>
          <w:p>
            <w:r>
              <w:t>31.30%</w:t>
            </w:r>
          </w:p>
        </w:tc>
        <w:tc>
          <w:tcPr>
            <w:tcW w:type="dxa" w:w="2062"/>
          </w:tcPr>
          <w:p>
            <w:r>
              <w:t>1.241</w:t>
            </w:r>
          </w:p>
        </w:tc>
        <w:tc>
          <w:tcPr>
            <w:tcW w:type="dxa" w:w="2062"/>
          </w:tcPr>
          <w:p>
            <w:r>
              <w:t>81.90%</w:t>
            </w:r>
          </w:p>
        </w:tc>
        <w:tc>
          <w:tcPr>
            <w:tcW w:type="dxa" w:w="2062"/>
          </w:tcPr>
          <w:p>
            <w:r>
              <w:t>1.096</w:t>
            </w:r>
          </w:p>
        </w:tc>
      </w:tr>
    </w:tbl>
    <w:p>
      <w:r>
        <w:t>基準2點設定下，策略毛損益3,469,600.00元，成本192,063.42元，占毛獲利5.54%。其中手續費18,400元、期交稅26,463.42元、滑價147,200元。4點滑價時Sharpe仍為1.241，但固定滑價不能完整模擬極端行情的成交失敗與流動性惡化。</w:t>
      </w:r>
    </w:p>
    <w:p>
      <w:r>
        <w:t>拆開兩個條件：事後消融，不是樣本外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</w:tcPr>
          <w:p>
            <w:r>
              <w:t>規則</w:t>
            </w:r>
          </w:p>
        </w:tc>
        <w:tc>
          <w:tcPr>
            <w:tcW w:type="dxa" w:w="2578"/>
          </w:tcPr>
          <w:p>
            <w:r>
              <w:t>報酬</w:t>
            </w:r>
          </w:p>
        </w:tc>
        <w:tc>
          <w:tcPr>
            <w:tcW w:type="dxa" w:w="2578"/>
          </w:tcPr>
          <w:p>
            <w:r>
              <w:t>Sharpe</w:t>
            </w:r>
          </w:p>
        </w:tc>
        <w:tc>
          <w:tcPr>
            <w:tcW w:type="dxa" w:w="2578"/>
          </w:tcPr>
          <w:p>
            <w:r>
              <w:t>MDD</w:t>
            </w:r>
          </w:p>
        </w:tc>
      </w:tr>
      <w:tr>
        <w:tc>
          <w:tcPr>
            <w:tcW w:type="dxa" w:w="2578"/>
          </w:tcPr>
          <w:p>
            <w:r>
              <w:t>交易強度＋價格趨勢</w:t>
            </w:r>
          </w:p>
        </w:tc>
        <w:tc>
          <w:tcPr>
            <w:tcW w:type="dxa" w:w="2578"/>
          </w:tcPr>
          <w:p>
            <w:r>
              <w:t>32.78%</w:t>
            </w:r>
          </w:p>
        </w:tc>
        <w:tc>
          <w:tcPr>
            <w:tcW w:type="dxa" w:w="2578"/>
          </w:tcPr>
          <w:p>
            <w:r>
              <w:t>1.302</w:t>
            </w:r>
          </w:p>
        </w:tc>
        <w:tc>
          <w:tcPr>
            <w:tcW w:type="dxa" w:w="2578"/>
          </w:tcPr>
          <w:p>
            <w:r>
              <w:t>3.93%</w:t>
            </w:r>
          </w:p>
        </w:tc>
      </w:tr>
      <w:tr>
        <w:tc>
          <w:tcPr>
            <w:tcW w:type="dxa" w:w="2578"/>
          </w:tcPr>
          <w:p>
            <w:r>
              <w:t>交易強度20日單獨</w:t>
            </w:r>
          </w:p>
        </w:tc>
        <w:tc>
          <w:tcPr>
            <w:tcW w:type="dxa" w:w="2578"/>
          </w:tcPr>
          <w:p>
            <w:r>
              <w:t>42.24%</w:t>
            </w:r>
          </w:p>
        </w:tc>
        <w:tc>
          <w:tcPr>
            <w:tcW w:type="dxa" w:w="2578"/>
          </w:tcPr>
          <w:p>
            <w:r>
              <w:t>0.868</w:t>
            </w:r>
          </w:p>
        </w:tc>
        <w:tc>
          <w:tcPr>
            <w:tcW w:type="dxa" w:w="2578"/>
          </w:tcPr>
          <w:p>
            <w:r>
              <w:t>9.48%</w:t>
            </w:r>
          </w:p>
        </w:tc>
      </w:tr>
      <w:tr>
        <w:tc>
          <w:tcPr>
            <w:tcW w:type="dxa" w:w="2578"/>
          </w:tcPr>
          <w:p>
            <w:r>
              <w:t>價格20日趨勢單獨</w:t>
            </w:r>
          </w:p>
        </w:tc>
        <w:tc>
          <w:tcPr>
            <w:tcW w:type="dxa" w:w="2578"/>
          </w:tcPr>
          <w:p>
            <w:r>
              <w:t>48.26%</w:t>
            </w:r>
          </w:p>
        </w:tc>
        <w:tc>
          <w:tcPr>
            <w:tcW w:type="dxa" w:w="2578"/>
          </w:tcPr>
          <w:p>
            <w:r>
              <w:t>0.956</w:t>
            </w:r>
          </w:p>
        </w:tc>
        <w:tc>
          <w:tcPr>
            <w:tcW w:type="dxa" w:w="2578"/>
          </w:tcPr>
          <w:p>
            <w:r>
              <w:t>9.55%</w:t>
            </w:r>
          </w:p>
        </w:tc>
      </w:tr>
    </w:tbl>
    <w:p>
      <w:r>
        <w:t>合併條件降低了收益，也降低了日末回撤及波動。相較單獨交易強度或單獨價格均線，這個歷史樣本中的主要改善是風險效率，而不是提高總獲利。消融是在選定策略後作的描述，不能消除先前候選挑選造成的偏誤。</w:t>
      </w:r>
    </w:p>
    <w:p>
      <w:r>
        <w:t>交易分布與成果集中</w:t>
      </w:r>
    </w:p>
    <w:p>
      <w:r>
        <w:t>147筆交易勝率51.70%、PF 2.197；持有日曆日平均6.90日、中位數3日，最長84日。前五筆獲利合計占總淨利55.46%；2025與2026合計約占61.73%，仍需注意少數交易及近期年份的影響。</w:t>
      </w:r>
    </w:p>
    <w:p>
      <w:r>
        <w:t>較早2018～2022淨利108.30萬元、描述性Sharpe 1.140；2023～2026淨利219.46萬元、Sharpe 1.481。兩段均為正，但2018、2022、2024年度為負。2024基準上漲而策略虧損，顯示趨勢過濾仍可能漏接行情或反覆進出。</w:t>
      </w:r>
    </w:p>
    <w:p>
      <w:r>
        <w:br w:type="page"/>
      </w:r>
    </w:p>
    <w:p>
      <w:pPr>
        <w:pStyle w:val="Heading1"/>
      </w:pPr>
      <w:r>
        <w:t>7　策略心得：機制與脆弱環境</w:t>
      </w:r>
    </w:p>
    <w:p>
      <w:r>
        <w:t>一、真正使用的是成交流量，不是法人留倉意圖</w:t>
      </w:r>
    </w:p>
    <w:p>
      <w:r>
        <w:t>這次策略的改善讓我重新區分「當日買賣活動」與「收盤後仍持有的部位」。交易強度用淨成交口數衡量買方壓力，不把契約金額的價格變動混入分子；用多空總口數作分母，也能避免直接比較不同交易熱度下的原始口數。然而三類法人交易內含方向投資、股票及選擇權避險、套利與造市，公開合計不能識別每個機構的動機。[2]</w:t>
      </w:r>
    </w:p>
    <w:p>
      <w:r>
        <w:t>20日平均把單日波動變成較持續的狀態，再要求價格高於20日均線。此設計容易說明，也能以固定規則驗證。但回測中Sharpe較高，只證明這組條件在目前資料上的歷史表現；尤其所有策略都採多單／空手，收益也包含長期多頭及隔夜報酬，不能把成果全部歸因於法人擁有更好的資訊。</w:t>
      </w:r>
    </w:p>
    <w:p>
      <w:r>
        <w:t>二、盤整反覆穿越：訊號可能慢，也可能太常變動</w:t>
      </w:r>
    </w:p>
    <w:p>
      <w:r>
        <w:t>在盤整、急漲急跌或V形反轉環境，20日平均會滯後，價格則可能在MA20附近反覆穿越。條件暫時消失便要退出，再成立又進場，形成追高、較低位置退出或漏接快速反彈。2024年就是有用的反例：基準仍賺錢，本策略卻小虧。這提醒我，兩個條件一致並不等於每段上升行情都能被捕捉。</w:t>
      </w:r>
    </w:p>
    <w:p>
      <w:r>
        <w:t>對於停損，我沒有因為回測曾出現單筆大虧，就事後挑一個能避開那筆交易的點數。現在資料只有日盤OHLC，沒有完整夜盤路徑、委託排隊與極端時刻成交資料；先維持訊號消退及期末清算的明確出場，比加入無法可靠執行的停損假設更容易核對。</w:t>
      </w:r>
    </w:p>
    <w:p>
      <w:r>
        <w:t>三、國際黑天鵝與跳空：跨日持有的實際代價</w:t>
      </w:r>
    </w:p>
    <w:p>
      <w:r>
        <w:t>Gemini指引要求檢討大外盤事件跳空。本版與日內策略不同，真的持有隔夜部位。訊號公布後，海外市場、匯率與突發事件可能改變行情；即使隔日日盤開盤已排定退出，仍必須承受前一日收盤至開盤的價差。若開盤流動性差，實際退出損失可能高於2點滑價假設。</w:t>
      </w:r>
    </w:p>
    <w:p>
      <w:r>
        <w:t>因此3.93%的日末MDD不能被解讀成單筆最大可承受損失。較保守本金與完整名目價值限制降低了槓桿問題，卻不能消除跳空風險。本次曲線未觀察夜盤及盤中瞬時低點；未來若要實際執行，需先驗證夜盤風險及開盤成交品質，而不是只看日末Sharpe。</w:t>
      </w:r>
    </w:p>
    <w:p>
      <w:r>
        <w:br w:type="page"/>
      </w:r>
    </w:p>
    <w:p>
      <w:pPr>
        <w:pStyle w:val="Heading1"/>
      </w:pPr>
      <w:r>
        <w:t>8　策略心得：比較與最終判斷</w:t>
      </w:r>
    </w:p>
    <w:p>
      <w:r>
        <w:t>四、較高Sharpe與較低收益，需要放在同一張圖解讀</w:t>
      </w:r>
    </w:p>
    <w:p>
      <w:r>
        <w:t>本次策略Sharpe 1.302、Calmar 0.906，高於基準1.108、0.694，MDD也由11.12%降至3.93%；但累積收益只有32.78%，低於基準82.68%。這是風險效率的改善，不是所有績效指標都領先。較多空手時間犧牲了多頭行情收益，也減少了市場下跌時的持倉。</w:t>
      </w:r>
    </w:p>
    <w:p>
      <w:r>
        <w:t>另一個容易被忽略的成本是等待恢復。策略最長回撤482個交易日，比基準366日更久，即使回撤不深，資金停滯仍可能使執行者懷疑規則。勝率約51.70%而PF約2.197，說明本版不靠很高的勝率，而是仰賴部分延續行情中的較大獲利；前五筆與最近兩年的貢獻，也讓我重視成果集中及持續性。</w:t>
      </w:r>
    </w:p>
    <w:p>
      <w:r>
        <w:t>五、選擇偏誤必須揭露，後續驗證不能再挑最佳規則</w:t>
      </w:r>
    </w:p>
    <w:p>
      <w:r>
        <w:t>這個版本來自先前18個候選比較，並非完全未看資料就訂好的策略。即使滑價加倍仍有正成果、兩段時間分組也都為正，這些資料仍曾被使用或觀察，因此不能改稱獨立樣本外驗證。完整揭露所有候選，是讓讀者知道目前的高Sharpe含有挑選效果。</w:t>
      </w:r>
    </w:p>
    <w:p>
      <w:r>
        <w:t>後續應先凍結20日交易強度、20日價格均線、零門檻及成本，再以真正未參與設計的新資料檢驗。若要測結算日排除、均線調整或停損，應預先列出少量假說並報告全部結果。先補較早缺失籌碼、核對歷史修訂與公布時點，也比再增加一批參數更能提升可信度。</w:t>
      </w:r>
    </w:p>
    <w:p>
      <w:r>
        <w:t>最終判斷：這個策略比先前日內異常籌碼版本更值得保留為研究候選，規則簡單、收益成本可追溯，也具較好的歷史風險效率。但現有結果仍不足以宣稱樣本外優勢或穩定超額收益。本作業的價值，是把籌碼直覺、真實執行、完整成本及失效環境連成可重現的檢驗。</w:t>
      </w:r>
    </w:p>
    <w:p>
      <w:r>
        <w:t>來源、附件與計算口徑</w:t>
      </w:r>
    </w:p>
    <w:p>
      <w:r>
        <w:t>[1] TAIFEX TX規格：https://www.taifex.com.tw/cht/2/tX</w:t>
        <w:br/>
        <w:t>[2] 三法人定義：https://www.taifex.com.tw/cht/3/futContractsDateView</w:t>
        <w:br/>
        <w:t>[3] 費率：https://www.taifex.com.tw/cht/4/feeSchedules</w:t>
        <w:br/>
        <w:t>行情：https://www.taifex.com.tw/cht/3/dlFutDailyMarketView</w:t>
        <w:br/>
        <w:t>FinMind：https://finmind.github.io/tutor/TaiwanMarket/Derivative/</w:t>
        <w:br/>
        <w:t>查核日：2026/10/07（臺北）；報告結構依使用者Gemini作業指引。</w:t>
      </w:r>
    </w:p>
    <w:p>
      <w:r>
        <w:t>Sharpe=日報酬平均／樣本標準差×√252；Calmar=CAGR／MDD比例。PDF為8頁，Word可編輯。兩支Python程式已實際執行；工作簿與CSV含全部訊號、成交、轉倉、損益、年度及診斷。README載明重現步驟、來源與限制。</w:t>
      </w:r>
    </w:p>
    <w:sectPr w:rsidR="00FC693F" w:rsidRPr="0006063C" w:rsidSect="00034616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TC" w:hAnsi="Noto Sans TC" w:eastAsia="Noto Sans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