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　研究目的與資料完整性</w:t>
      </w:r>
    </w:p>
    <w:p>
      <w:r>
        <w:t>法人交易強度＋價格趨勢：跨日持倉策略</w:t>
      </w:r>
    </w:p>
    <w:p>
      <w:r>
        <w:t>研究假說：三大法人持續的淨買進活動，若同時伴隨價格上升趨勢，可能比單日部位異常更能辨識可持續的多頭環境。本研究以20日法人交易強度與20日價格均線建立一口多單／空手規則，以加權股價指數作大盤價格參考，另與計入轉倉成本的台指期近月Buy-and-Hold比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資料</w:t>
            </w:r>
          </w:p>
        </w:tc>
        <w:tc>
          <w:tcPr>
            <w:tcW w:type="dxa" w:w="5156"/>
          </w:tcPr>
          <w:p>
            <w:r>
              <w:t>來源、期間與清理</w:t>
            </w:r>
          </w:p>
        </w:tc>
      </w:tr>
      <w:tr>
        <w:tc>
          <w:tcPr>
            <w:tcW w:type="dxa" w:w="5156"/>
          </w:tcPr>
          <w:p>
            <w:r>
              <w:t>TX日盤行情</w:t>
            </w:r>
          </w:p>
        </w:tc>
        <w:tc>
          <w:tcPr>
            <w:tcW w:type="dxa" w:w="5156"/>
          </w:tcPr>
          <w:p>
            <w:r>
              <w:t>TAIFEX年度ZIP及月檔；2016/10/05～2026/10/05，2,438日、14,202筆實際月契約、126個契約。僅保留一般交易時段、六碼月契約。</w:t>
            </w:r>
          </w:p>
        </w:tc>
      </w:tr>
      <w:tr>
        <w:tc>
          <w:tcPr>
            <w:tcW w:type="dxa" w:w="5156"/>
          </w:tcPr>
          <w:p>
            <w:r>
              <w:t>三大法人交易</w:t>
            </w:r>
          </w:p>
        </w:tc>
        <w:tc>
          <w:tcPr>
            <w:tcW w:type="dxa" w:w="5156"/>
          </w:tcPr>
          <w:p>
            <w:r>
              <w:t>FinMind TX歷史資料與TAIFEX格式原始資料；2018/06/05～2026/10/05，2,030日、6,090筆三類法人資料。</w:t>
            </w:r>
          </w:p>
        </w:tc>
      </w:tr>
      <w:tr>
        <w:tc>
          <w:tcPr>
            <w:tcW w:type="dxa" w:w="5156"/>
          </w:tcPr>
          <w:p>
            <w:r>
              <w:t>正式回測期間</w:t>
            </w:r>
          </w:p>
        </w:tc>
        <w:tc>
          <w:tcPr>
            <w:tcW w:type="dxa" w:w="5156"/>
          </w:tcPr>
          <w:p>
            <w:r>
              <w:t>2018-08-31～2026-10-05，共1,968日。沿用前版共同起點，以便比較；本策略本身需要20日暖身。</w:t>
            </w:r>
          </w:p>
        </w:tc>
      </w:tr>
      <w:tr>
        <w:tc>
          <w:tcPr>
            <w:tcW w:type="dxa" w:w="5156"/>
          </w:tcPr>
          <w:p>
            <w:r>
              <w:t>缺漏處理</w:t>
            </w:r>
          </w:p>
        </w:tc>
        <w:tc>
          <w:tcPr>
            <w:tcW w:type="dxa" w:w="5156"/>
          </w:tcPr>
          <w:p>
            <w:r>
              <w:t>行情與法人資料起點不同；法人資料前的408個行情交易日未補造籌碼。較早官方交易金額淨額空白，但本策略只用完整的交易口數。</w:t>
            </w:r>
          </w:p>
        </w:tc>
      </w:tr>
    </w:tbl>
    <w:p>
      <w:r>
        <w:t>較新期間以TAIFEX格式原始資料優先，以降低不同資料來源歷史值差異造成的影響；三類法人日期均與行情交易日曆一致。資料未混入MTX、週契約、夜盤或價差交易。原始月契約共有179筆OHLC缺值紀錄，但策略及基準實際使用的進出、轉倉與評價價格均完整。</w:t>
      </w:r>
    </w:p>
    <w:p>
      <w:r>
        <w:t>本策略由18個候選規則中篩選後固定參數重新回測，因此結果屬探索性全樣本分析，尚未以完全未參與策略選擇的資料進行獨立樣本外驗證。此限制在後續結論中另行討論。</w:t>
      </w:r>
    </w:p>
    <w:p>
      <w:r>
        <w:t>以首日一口TX名目價值2,195,000.00元作共同比較基數，V04成本後累積報酬149.32%、MDD 12.72%；同期加權指數價格報酬350.40%、MDD 31.63%。固定一口TX買進持有為可交易期貨對照。原一千萬元帳戶口徑保留於附表，不能用來代表滿額大盤曝險的風險。</w:t>
      </w:r>
    </w:p>
    <w:p>
      <w:r>
        <w:br w:type="page"/>
      </w:r>
    </w:p>
    <w:p>
      <w:pPr>
        <w:pStyle w:val="Heading1"/>
      </w:pPr>
      <w:r>
        <w:t>2　指標定義、經濟意涵與訊號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欄位／指標</w:t>
            </w:r>
          </w:p>
        </w:tc>
        <w:tc>
          <w:tcPr>
            <w:tcW w:type="dxa" w:w="5156"/>
          </w:tcPr>
          <w:p>
            <w:r>
              <w:t>定義與用途</w:t>
            </w:r>
          </w:p>
        </w:tc>
      </w:tr>
      <w:tr>
        <w:tc>
          <w:tcPr>
            <w:tcW w:type="dxa" w:w="5156"/>
          </w:tcPr>
          <w:p>
            <w:r>
              <w:t>日期／實際契約月份</w:t>
            </w:r>
          </w:p>
        </w:tc>
        <w:tc>
          <w:tcPr>
            <w:tcW w:type="dxa" w:w="5156"/>
          </w:tcPr>
          <w:p>
            <w:r>
              <w:t>交易日、TXYYYYMM；每日開、高、低、收都取同一實際月契約，未回溯調整。</w:t>
            </w:r>
          </w:p>
        </w:tc>
      </w:tr>
      <w:tr>
        <w:tc>
          <w:tcPr>
            <w:tcW w:type="dxa" w:w="5156"/>
          </w:tcPr>
          <w:p>
            <w:r>
              <w:t>多方／空方交易口數</w:t>
            </w:r>
          </w:p>
        </w:tc>
        <w:tc>
          <w:tcPr>
            <w:tcW w:type="dxa" w:w="5156"/>
          </w:tcPr>
          <w:p>
            <w:r>
              <w:t>法人當日買進／賣出成交口數。與仍未沖銷的未平倉口數是不同資料。[2]</w:t>
            </w:r>
          </w:p>
        </w:tc>
      </w:tr>
      <w:tr>
        <w:tc>
          <w:tcPr>
            <w:tcW w:type="dxa" w:w="5156"/>
          </w:tcPr>
          <w:p>
            <w:r>
              <w:t>法人淨交易口數 B</w:t>
            </w:r>
          </w:p>
        </w:tc>
        <w:tc>
          <w:tcPr>
            <w:tcW w:type="dxa" w:w="5156"/>
          </w:tcPr>
          <w:p>
            <w:r>
              <w:t>外資及陸資、投信、自營商的多方交易口數減空方交易口數，再合計。</w:t>
            </w:r>
          </w:p>
        </w:tc>
      </w:tr>
      <w:tr>
        <w:tc>
          <w:tcPr>
            <w:tcW w:type="dxa" w:w="5156"/>
          </w:tcPr>
          <w:p>
            <w:r>
              <w:t>法人總交易口數 V</w:t>
            </w:r>
          </w:p>
        </w:tc>
        <w:tc>
          <w:tcPr>
            <w:tcW w:type="dxa" w:w="5156"/>
          </w:tcPr>
          <w:p>
            <w:r>
              <w:t>三類法人多方與空方交易口數合計。只代表這三類法人，不是全市場成交量。</w:t>
            </w:r>
          </w:p>
        </w:tc>
      </w:tr>
      <w:tr>
        <w:tc>
          <w:tcPr>
            <w:tcW w:type="dxa" w:w="5156"/>
          </w:tcPr>
          <w:p>
            <w:r>
              <w:t>交易強度 Q=B/V</w:t>
            </w:r>
          </w:p>
        </w:tc>
        <w:tc>
          <w:tcPr>
            <w:tcW w:type="dxa" w:w="5156"/>
          </w:tcPr>
          <w:p>
            <w:r>
              <w:t>以口數標準化淨買進活動；B可為負，V為正。各類法人的成交流量可能含方向、避險與套利。</w:t>
            </w:r>
          </w:p>
        </w:tc>
      </w:tr>
      <w:tr>
        <w:tc>
          <w:tcPr>
            <w:tcW w:type="dxa" w:w="5156"/>
          </w:tcPr>
          <w:p>
            <w:r>
              <w:t>Q20／MA20</w:t>
            </w:r>
          </w:p>
        </w:tc>
        <w:tc>
          <w:tcPr>
            <w:tcW w:type="dxa" w:w="5156"/>
          </w:tcPr>
          <w:p>
            <w:r>
              <w:t>Q20為當日及前19交易日Q的算術平均；MA20為當日及前19日近月收盤均價。</w:t>
            </w:r>
          </w:p>
        </w:tc>
      </w:tr>
    </w:tbl>
    <w:p>
      <w:r>
        <w:t>例如三類法人合計淨買進5,000口、買賣總口數200,000口，交易強度為2.5%。20日平均為正，表示近期平均成交傾向淨買方；但它不是新增多單口數，也不能把多次買賣直接視為留倉增加。</w:t>
      </w:r>
    </w:p>
    <w:p>
      <w:r>
        <w:t>經濟直覺：持續淨買進可能反映資金配置或風險承擔；20日平均降低單日成交雜訊，價格高於MA20則要求市場價格同時呈現偏強狀態。這是「法人買方活動與價格趨勢一致」的條件假說，不預設它必然有預測能力。</w:t>
      </w:r>
    </w:p>
    <w:p>
      <w:r>
        <w:t>明確數學規則與資訊時序</w:t>
      </w:r>
    </w:p>
    <w:p>
      <w:r>
        <w:t>第t日盤後：若Q20_t&gt;0且收盤C_t&gt;MA20_t，則目標多一口；其他情況目標空手。Q20=0或C=MA20均不持有。訊號只在t+1交易日08:45開盤執行，不使用t+1收盤決定t+1開盤交易。</w:t>
      </w:r>
    </w:p>
    <w:p>
      <w:r>
        <w:t>原本空手且目標多單：買進；原本多單且條件持續：跨日持有、不加碼；任一條件消失：次日開盤全部平倉。無放空、無日內停損停利。OHLC保留作稽核，但不能重建夜盤及盤中成交路徑，所以不加入未經驗證的盤中觸價出場。</w:t>
      </w:r>
    </w:p>
    <w:p>
      <w:r>
        <w:t>交易日配對按官方行情日曆，不以自然日加一天。條件產生、成交、持倉及轉倉均可在逐日底稿追溯。</w:t>
      </w:r>
    </w:p>
    <w:p>
      <w:r>
        <w:br w:type="page"/>
      </w:r>
    </w:p>
    <w:p>
      <w:pPr>
        <w:pStyle w:val="Heading1"/>
      </w:pPr>
      <w:r>
        <w:t>3　交易執行、轉倉與完整成本</w:t>
      </w:r>
    </w:p>
    <w:p>
      <w:r>
        <w:t>策略按訊號隔日開盤進出；若跨月仍持有，於到期前一個交易日13:45平舊約並買次月。基準在首日開盤買一口，持續持有並採相同提前轉倉路徑。到期日期由官方契約存續底稿核對第三個星期三／休市順延規則。[1]</w:t>
      </w:r>
    </w:p>
    <w:p>
      <w:r>
        <w:t>提前一日換倉可避免到期近月13:30、次月13:45收盤時點不同；不用最後結算價替代成交價。若策略在換倉日開盤已退出，就不再換倉。兩者在樣本結束時收盤全平，這是帳戶終止清算，並非日常開盤買、收盤賣規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設定</w:t>
            </w:r>
          </w:p>
        </w:tc>
        <w:tc>
          <w:tcPr>
            <w:tcW w:type="dxa" w:w="5156"/>
          </w:tcPr>
          <w:p>
            <w:r>
              <w:t>策略與基準共同口徑</w:t>
            </w:r>
          </w:p>
        </w:tc>
      </w:tr>
      <w:tr>
        <w:tc>
          <w:tcPr>
            <w:tcW w:type="dxa" w:w="5156"/>
          </w:tcPr>
          <w:p>
            <w:r>
              <w:t>帳戶／口數／乘數</w:t>
            </w:r>
          </w:p>
        </w:tc>
        <w:tc>
          <w:tcPr>
            <w:tcW w:type="dxa" w:w="5156"/>
          </w:tcPr>
          <w:p>
            <w:r>
              <w:t>帳務本金10,000,000元；一口TX、每點200元。績效主表另以起始名目價值為分母。</w:t>
            </w:r>
          </w:p>
        </w:tc>
      </w:tr>
      <w:tr>
        <w:tc>
          <w:tcPr>
            <w:tcW w:type="dxa" w:w="5156"/>
          </w:tcPr>
          <w:p>
            <w:r>
              <w:t>手續費</w:t>
            </w:r>
          </w:p>
        </w:tc>
        <w:tc>
          <w:tcPr>
            <w:tcW w:type="dxa" w:w="5156"/>
          </w:tcPr>
          <w:p>
            <w:r>
              <w:t>每邊每口50元，假設為券商總手續費；未另重複加交易所經手費。[3]</w:t>
            </w:r>
          </w:p>
        </w:tc>
      </w:tr>
      <w:tr>
        <w:tc>
          <w:tcPr>
            <w:tcW w:type="dxa" w:w="5156"/>
          </w:tcPr>
          <w:p>
            <w:r>
              <w:t>滑價</w:t>
            </w:r>
          </w:p>
        </w:tc>
        <w:tc>
          <w:tcPr>
            <w:tcW w:type="dxa" w:w="5156"/>
          </w:tcPr>
          <w:p>
            <w:r>
              <w:t>每次成交2點：買進價+滑價、賣出價−滑價。初始進出、轉倉與期末平倉皆計。</w:t>
            </w:r>
          </w:p>
        </w:tc>
      </w:tr>
      <w:tr>
        <w:tc>
          <w:tcPr>
            <w:tcW w:type="dxa" w:w="5156"/>
          </w:tcPr>
          <w:p>
            <w:r>
              <w:t>期交稅</w:t>
            </w:r>
          </w:p>
        </w:tc>
        <w:tc>
          <w:tcPr>
            <w:tcW w:type="dxa" w:w="5156"/>
          </w:tcPr>
          <w:p>
            <w:r>
              <w:t>每邊按含滑價成交價×200×2e-05。連續金額近似，未逐筆取整。[3]</w:t>
            </w:r>
          </w:p>
        </w:tc>
      </w:tr>
      <w:tr>
        <w:tc>
          <w:tcPr>
            <w:tcW w:type="dxa" w:w="5156"/>
          </w:tcPr>
          <w:p>
            <w:r>
              <w:t>資金與槓桿</w:t>
            </w:r>
          </w:p>
        </w:tc>
        <w:tc>
          <w:tcPr>
            <w:tcW w:type="dxa" w:w="5156"/>
          </w:tcPr>
          <w:p>
            <w:r>
              <w:t>資金足以覆蓋完整契約名目價值及估計成本；全期通過。未使用保證金槓桿或重建歷史追繳。</w:t>
            </w:r>
          </w:p>
        </w:tc>
      </w:tr>
      <w:tr>
        <w:tc>
          <w:tcPr>
            <w:tcW w:type="dxa" w:w="5156"/>
          </w:tcPr>
          <w:p>
            <w:r>
              <w:t>日末評價與報酬</w:t>
            </w:r>
          </w:p>
        </w:tc>
        <w:tc>
          <w:tcPr>
            <w:tcW w:type="dxa" w:w="5156"/>
          </w:tcPr>
          <w:p>
            <w:r>
              <w:t>原帳戶以收盤評價；主比較將相同一口逐日損益置於起始TX名目價值上，不改成交與損益。</w:t>
            </w:r>
          </w:p>
        </w:tc>
      </w:tr>
      <w:tr>
        <w:tc>
          <w:tcPr>
            <w:tcW w:type="dxa" w:w="5156"/>
          </w:tcPr>
          <w:p>
            <w:r>
              <w:t>年化與利息</w:t>
            </w:r>
          </w:p>
        </w:tc>
        <w:tc>
          <w:tcPr>
            <w:tcW w:type="dxa" w:w="5156"/>
          </w:tcPr>
          <w:p>
            <w:r>
              <w:t>現金利息及rf=0；Sharpe採252日；CAGR依實際起訖含首尾日／365.25。</w:t>
            </w:r>
          </w:p>
        </w:tc>
      </w:tr>
    </w:tbl>
    <w:p>
      <w:r>
        <w:t>持有日損益按同一實際契約今日收盤減昨日評價價；退出日先計舊持倉至開盤的損益，進場日從開盤計至收盤。換倉日先結束舊約損益，再將新約收盤設為新評價基準，成交各扣成本。新舊約價差不直接列為本日損益，也不另外重複扣費。</w:t>
      </w:r>
    </w:p>
    <w:p>
      <w:r>
        <w:t>策略147筆完整方向交易、37次轉倉、368個成交腿；基準98段契約交易、97次轉倉、196個成交腿。策略總成本192,063.42元，基準102,847.34元。逐日損益、方向交易及實際契約分段損益皆獨立核對一致。</w:t>
      </w:r>
    </w:p>
    <w:p>
      <w:r>
        <w:br w:type="page"/>
      </w:r>
    </w:p>
    <w:p>
      <w:pPr>
        <w:pStyle w:val="Heading1"/>
      </w:pPr>
      <w:r>
        <w:t>4　同起始曝險的大盤績效比較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t>指標</w:t>
            </w:r>
          </w:p>
        </w:tc>
        <w:tc>
          <w:tcPr>
            <w:tcW w:type="dxa" w:w="2578"/>
          </w:tcPr>
          <w:p>
            <w:r>
              <w:t>V04一口</w:t>
            </w:r>
          </w:p>
        </w:tc>
        <w:tc>
          <w:tcPr>
            <w:tcW w:type="dxa" w:w="2578"/>
          </w:tcPr>
          <w:p>
            <w:r>
              <w:t>TX買進持有一口</w:t>
            </w:r>
          </w:p>
        </w:tc>
        <w:tc>
          <w:tcPr>
            <w:tcW w:type="dxa" w:w="2578"/>
          </w:tcPr>
          <w:p>
            <w:r>
              <w:t>加權指數</w:t>
            </w:r>
          </w:p>
        </w:tc>
      </w:tr>
      <w:tr>
        <w:tc>
          <w:tcPr>
            <w:tcW w:type="dxa" w:w="2578"/>
          </w:tcPr>
          <w:p>
            <w:r>
              <w:t>累積報酬</w:t>
            </w:r>
          </w:p>
        </w:tc>
        <w:tc>
          <w:tcPr>
            <w:tcW w:type="dxa" w:w="2578"/>
          </w:tcPr>
          <w:p>
            <w:r>
              <w:t>149.32%</w:t>
            </w:r>
          </w:p>
        </w:tc>
        <w:tc>
          <w:tcPr>
            <w:tcW w:type="dxa" w:w="2578"/>
          </w:tcPr>
          <w:p>
            <w:r>
              <w:t>376.69%</w:t>
            </w:r>
          </w:p>
        </w:tc>
        <w:tc>
          <w:tcPr>
            <w:tcW w:type="dxa" w:w="2578"/>
          </w:tcPr>
          <w:p>
            <w:r>
              <w:t>350.40%</w:t>
            </w:r>
          </w:p>
        </w:tc>
      </w:tr>
      <w:tr>
        <w:tc>
          <w:tcPr>
            <w:tcW w:type="dxa" w:w="2578"/>
          </w:tcPr>
          <w:p>
            <w:r>
              <w:t>CAGR</w:t>
            </w:r>
          </w:p>
        </w:tc>
        <w:tc>
          <w:tcPr>
            <w:tcW w:type="dxa" w:w="2578"/>
          </w:tcPr>
          <w:p>
            <w:r>
              <w:t>11.94%</w:t>
            </w:r>
          </w:p>
        </w:tc>
        <w:tc>
          <w:tcPr>
            <w:tcW w:type="dxa" w:w="2578"/>
          </w:tcPr>
          <w:p>
            <w:r>
              <w:t>21.27%</w:t>
            </w:r>
          </w:p>
        </w:tc>
        <w:tc>
          <w:tcPr>
            <w:tcW w:type="dxa" w:w="2578"/>
          </w:tcPr>
          <w:p>
            <w:r>
              <w:t>20.42%</w:t>
            </w:r>
          </w:p>
        </w:tc>
      </w:tr>
      <w:tr>
        <w:tc>
          <w:tcPr>
            <w:tcW w:type="dxa" w:w="2578"/>
          </w:tcPr>
          <w:p>
            <w:r>
              <w:t>Sharpe（rf=0）</w:t>
            </w:r>
          </w:p>
        </w:tc>
        <w:tc>
          <w:tcPr>
            <w:tcW w:type="dxa" w:w="2578"/>
          </w:tcPr>
          <w:p>
            <w:r>
              <w:t>1.367</w:t>
            </w:r>
          </w:p>
        </w:tc>
        <w:tc>
          <w:tcPr>
            <w:tcW w:type="dxa" w:w="2578"/>
          </w:tcPr>
          <w:p>
            <w:r>
              <w:t>1.147</w:t>
            </w:r>
          </w:p>
        </w:tc>
        <w:tc>
          <w:tcPr>
            <w:tcW w:type="dxa" w:w="2578"/>
          </w:tcPr>
          <w:p>
            <w:r>
              <w:t>1.064</w:t>
            </w:r>
          </w:p>
        </w:tc>
      </w:tr>
      <w:tr>
        <w:tc>
          <w:tcPr>
            <w:tcW w:type="dxa" w:w="2578"/>
          </w:tcPr>
          <w:p>
            <w:r>
              <w:t>最大回撤</w:t>
            </w:r>
          </w:p>
        </w:tc>
        <w:tc>
          <w:tcPr>
            <w:tcW w:type="dxa" w:w="2578"/>
          </w:tcPr>
          <w:p>
            <w:r>
              <w:t>12.72%</w:t>
            </w:r>
          </w:p>
        </w:tc>
        <w:tc>
          <w:tcPr>
            <w:tcW w:type="dxa" w:w="2578"/>
          </w:tcPr>
          <w:p>
            <w:r>
              <w:t>28.64%</w:t>
            </w:r>
          </w:p>
        </w:tc>
        <w:tc>
          <w:tcPr>
            <w:tcW w:type="dxa" w:w="2578"/>
          </w:tcPr>
          <w:p>
            <w:r>
              <w:t>31.63%</w:t>
            </w:r>
          </w:p>
        </w:tc>
      </w:tr>
      <w:tr>
        <w:tc>
          <w:tcPr>
            <w:tcW w:type="dxa" w:w="2578"/>
          </w:tcPr>
          <w:p>
            <w:r>
              <w:t>年化波動</w:t>
            </w:r>
          </w:p>
        </w:tc>
        <w:tc>
          <w:tcPr>
            <w:tcW w:type="dxa" w:w="2578"/>
          </w:tcPr>
          <w:p>
            <w:r>
              <w:t>8.84%</w:t>
            </w:r>
          </w:p>
        </w:tc>
        <w:tc>
          <w:tcPr>
            <w:tcW w:type="dxa" w:w="2578"/>
          </w:tcPr>
          <w:p>
            <w:r>
              <w:t>19.03%</w:t>
            </w:r>
          </w:p>
        </w:tc>
        <w:tc>
          <w:tcPr>
            <w:tcW w:type="dxa" w:w="2578"/>
          </w:tcPr>
          <w:p>
            <w:r>
              <w:t>20.00%</w:t>
            </w:r>
          </w:p>
        </w:tc>
      </w:tr>
    </w:tbl>
    <w:p>
      <w:r>
        <w:t>三條曲線從同一參考基數2,195,000.00元開始：首日TX開盤10,975點×200元。V04與TX比較沿用原始一口逐日淨損益及全部交易成本，僅改變報酬與回撤分母；加權指數以首日開盤11,037.26點至逐日收盤計價格報酬，未含股息，屬市場參考而非可直接成交的期貨帳本。</w:t>
      </w:r>
    </w:p>
    <w:p>
      <w:r>
        <w:t>原一千萬元、固定一口帳戶的策略報酬32.78%、MDD 3.93%；TX基準報酬82.68%、MDD 11.12%。其餘資金未投入市場，因此該口徑主要用於核對原帳務，不能單憑較小回撤宣稱策略優於大盤。</w:t>
      </w:r>
    </w:p>
    <w:p>
      <w:r>
        <w:t>年度報酬：共同比較基數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t>年度</w:t>
            </w:r>
          </w:p>
        </w:tc>
        <w:tc>
          <w:tcPr>
            <w:tcW w:type="dxa" w:w="2578"/>
          </w:tcPr>
          <w:p>
            <w:r>
              <w:t>V04</w:t>
            </w:r>
          </w:p>
        </w:tc>
        <w:tc>
          <w:tcPr>
            <w:tcW w:type="dxa" w:w="2578"/>
          </w:tcPr>
          <w:p>
            <w:r>
              <w:t>TX一口</w:t>
            </w:r>
          </w:p>
        </w:tc>
        <w:tc>
          <w:tcPr>
            <w:tcW w:type="dxa" w:w="2578"/>
          </w:tcPr>
          <w:p>
            <w:r>
              <w:t>加權指數</w:t>
            </w:r>
          </w:p>
        </w:tc>
      </w:tr>
      <w:tr>
        <w:tc>
          <w:tcPr>
            <w:tcW w:type="dxa" w:w="2578"/>
          </w:tcPr>
          <w:p>
            <w:r>
              <w:t>2018</w:t>
            </w:r>
          </w:p>
        </w:tc>
        <w:tc>
          <w:tcPr>
            <w:tcW w:type="dxa" w:w="2578"/>
          </w:tcPr>
          <w:p>
            <w:r>
              <w:t>-6.58%</w:t>
            </w:r>
          </w:p>
        </w:tc>
        <w:tc>
          <w:tcPr>
            <w:tcW w:type="dxa" w:w="2578"/>
          </w:tcPr>
          <w:p>
            <w:r>
              <w:t>-11.25%</w:t>
            </w:r>
          </w:p>
        </w:tc>
        <w:tc>
          <w:tcPr>
            <w:tcW w:type="dxa" w:w="2578"/>
          </w:tcPr>
          <w:p>
            <w:r>
              <w:t>-11.87%</w:t>
            </w:r>
          </w:p>
        </w:tc>
      </w:tr>
      <w:tr>
        <w:tc>
          <w:tcPr>
            <w:tcW w:type="dxa" w:w="2578"/>
          </w:tcPr>
          <w:p>
            <w:r>
              <w:t>2019</w:t>
            </w:r>
          </w:p>
        </w:tc>
        <w:tc>
          <w:tcPr>
            <w:tcW w:type="dxa" w:w="2578"/>
          </w:tcPr>
          <w:p>
            <w:r>
              <w:t>21.44%</w:t>
            </w:r>
          </w:p>
        </w:tc>
        <w:tc>
          <w:tcPr>
            <w:tcW w:type="dxa" w:w="2578"/>
          </w:tcPr>
          <w:p>
            <w:r>
              <w:t>28.18%</w:t>
            </w:r>
          </w:p>
        </w:tc>
        <w:tc>
          <w:tcPr>
            <w:tcW w:type="dxa" w:w="2578"/>
          </w:tcPr>
          <w:p>
            <w:r>
              <w:t>23.33%</w:t>
            </w:r>
          </w:p>
        </w:tc>
      </w:tr>
      <w:tr>
        <w:tc>
          <w:tcPr>
            <w:tcW w:type="dxa" w:w="2578"/>
          </w:tcPr>
          <w:p>
            <w:r>
              <w:t>2020</w:t>
            </w:r>
          </w:p>
        </w:tc>
        <w:tc>
          <w:tcPr>
            <w:tcW w:type="dxa" w:w="2578"/>
          </w:tcPr>
          <w:p>
            <w:r>
              <w:t>25.69%</w:t>
            </w:r>
          </w:p>
        </w:tc>
        <w:tc>
          <w:tcPr>
            <w:tcW w:type="dxa" w:w="2578"/>
          </w:tcPr>
          <w:p>
            <w:r>
              <w:t>29.38%</w:t>
            </w:r>
          </w:p>
        </w:tc>
        <w:tc>
          <w:tcPr>
            <w:tcW w:type="dxa" w:w="2578"/>
          </w:tcPr>
          <w:p>
            <w:r>
              <w:t>22.80%</w:t>
            </w:r>
          </w:p>
        </w:tc>
      </w:tr>
      <w:tr>
        <w:tc>
          <w:tcPr>
            <w:tcW w:type="dxa" w:w="2578"/>
          </w:tcPr>
          <w:p>
            <w:r>
              <w:t>2021</w:t>
            </w:r>
          </w:p>
        </w:tc>
        <w:tc>
          <w:tcPr>
            <w:tcW w:type="dxa" w:w="2578"/>
          </w:tcPr>
          <w:p>
            <w:r>
              <w:t>6.21%</w:t>
            </w:r>
          </w:p>
        </w:tc>
        <w:tc>
          <w:tcPr>
            <w:tcW w:type="dxa" w:w="2578"/>
          </w:tcPr>
          <w:p>
            <w:r>
              <w:t>27.37%</w:t>
            </w:r>
          </w:p>
        </w:tc>
        <w:tc>
          <w:tcPr>
            <w:tcW w:type="dxa" w:w="2578"/>
          </w:tcPr>
          <w:p>
            <w:r>
              <w:t>23.66%</w:t>
            </w:r>
          </w:p>
        </w:tc>
      </w:tr>
      <w:tr>
        <w:tc>
          <w:tcPr>
            <w:tcW w:type="dxa" w:w="2578"/>
          </w:tcPr>
          <w:p>
            <w:r>
              <w:t>2022</w:t>
            </w:r>
          </w:p>
        </w:tc>
        <w:tc>
          <w:tcPr>
            <w:tcW w:type="dxa" w:w="2578"/>
          </w:tcPr>
          <w:p>
            <w:r>
              <w:t>-1.39%</w:t>
            </w:r>
          </w:p>
        </w:tc>
        <w:tc>
          <w:tcPr>
            <w:tcW w:type="dxa" w:w="2578"/>
          </w:tcPr>
          <w:p>
            <w:r>
              <w:t>-15.17%</w:t>
            </w:r>
          </w:p>
        </w:tc>
        <w:tc>
          <w:tcPr>
            <w:tcW w:type="dxa" w:w="2578"/>
          </w:tcPr>
          <w:p>
            <w:r>
              <w:t>-22.40%</w:t>
            </w:r>
          </w:p>
        </w:tc>
      </w:tr>
      <w:tr>
        <w:tc>
          <w:tcPr>
            <w:tcW w:type="dxa" w:w="2578"/>
          </w:tcPr>
          <w:p>
            <w:r>
              <w:t>2023</w:t>
            </w:r>
          </w:p>
        </w:tc>
        <w:tc>
          <w:tcPr>
            <w:tcW w:type="dxa" w:w="2578"/>
          </w:tcPr>
          <w:p>
            <w:r>
              <w:t>5.87%</w:t>
            </w:r>
          </w:p>
        </w:tc>
        <w:tc>
          <w:tcPr>
            <w:tcW w:type="dxa" w:w="2578"/>
          </w:tcPr>
          <w:p>
            <w:r>
              <w:t>23.25%</w:t>
            </w:r>
          </w:p>
        </w:tc>
        <w:tc>
          <w:tcPr>
            <w:tcW w:type="dxa" w:w="2578"/>
          </w:tcPr>
          <w:p>
            <w:r>
              <w:t>26.83%</w:t>
            </w:r>
          </w:p>
        </w:tc>
      </w:tr>
      <w:tr>
        <w:tc>
          <w:tcPr>
            <w:tcW w:type="dxa" w:w="2578"/>
          </w:tcPr>
          <w:p>
            <w:r>
              <w:t>2024</w:t>
            </w:r>
          </w:p>
        </w:tc>
        <w:tc>
          <w:tcPr>
            <w:tcW w:type="dxa" w:w="2578"/>
          </w:tcPr>
          <w:p>
            <w:r>
              <w:t>-0.61%</w:t>
            </w:r>
          </w:p>
        </w:tc>
        <w:tc>
          <w:tcPr>
            <w:tcW w:type="dxa" w:w="2578"/>
          </w:tcPr>
          <w:p>
            <w:r>
              <w:t>23.22%</w:t>
            </w:r>
          </w:p>
        </w:tc>
        <w:tc>
          <w:tcPr>
            <w:tcW w:type="dxa" w:w="2578"/>
          </w:tcPr>
          <w:p>
            <w:r>
              <w:t>28.47%</w:t>
            </w:r>
          </w:p>
        </w:tc>
      </w:tr>
      <w:tr>
        <w:tc>
          <w:tcPr>
            <w:tcW w:type="dxa" w:w="2578"/>
          </w:tcPr>
          <w:p>
            <w:r>
              <w:t>2025</w:t>
            </w:r>
          </w:p>
        </w:tc>
        <w:tc>
          <w:tcPr>
            <w:tcW w:type="dxa" w:w="2578"/>
          </w:tcPr>
          <w:p>
            <w:r>
              <w:t>22.35%</w:t>
            </w:r>
          </w:p>
        </w:tc>
        <w:tc>
          <w:tcPr>
            <w:tcW w:type="dxa" w:w="2578"/>
          </w:tcPr>
          <w:p>
            <w:r>
              <w:t>23.92%</w:t>
            </w:r>
          </w:p>
        </w:tc>
        <w:tc>
          <w:tcPr>
            <w:tcW w:type="dxa" w:w="2578"/>
          </w:tcPr>
          <w:p>
            <w:r>
              <w:t>25.74%</w:t>
            </w:r>
          </w:p>
        </w:tc>
      </w:tr>
      <w:tr>
        <w:tc>
          <w:tcPr>
            <w:tcW w:type="dxa" w:w="2578"/>
          </w:tcPr>
          <w:p>
            <w:r>
              <w:t>2026</w:t>
            </w:r>
          </w:p>
        </w:tc>
        <w:tc>
          <w:tcPr>
            <w:tcW w:type="dxa" w:w="2578"/>
          </w:tcPr>
          <w:p>
            <w:r>
              <w:t>29.67%</w:t>
            </w:r>
          </w:p>
        </w:tc>
        <w:tc>
          <w:tcPr>
            <w:tcW w:type="dxa" w:w="2578"/>
          </w:tcPr>
          <w:p>
            <w:r>
              <w:t>59.27%</w:t>
            </w:r>
          </w:p>
        </w:tc>
        <w:tc>
          <w:tcPr>
            <w:tcW w:type="dxa" w:w="2578"/>
          </w:tcPr>
          <w:p>
            <w:r>
              <w:t>71.64%</w:t>
            </w:r>
          </w:p>
        </w:tc>
      </w:tr>
    </w:tbl>
    <w:p>
      <w:r>
        <w:t>年度報酬以各年第一交易日前的權益為分母，首尾年度是不完整年份。Sharpe與回撤都依此共同基數重新計算；固定一口TX與加權指數的報酬不等同，包含基差、換月與期貨成交成本等差異。</w:t>
      </w:r>
    </w:p>
    <w:p>
      <w:r>
        <w:br w:type="page"/>
      </w:r>
    </w:p>
    <w:p>
      <w:pPr>
        <w:pStyle w:val="Heading1"/>
      </w:pPr>
      <w:r>
        <w:t>5　資金曲線、回撤與風險配平診斷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16000" cy="11632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uity_comparis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163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916000" cy="11632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uity_comparison_lo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163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圖一：左為線性Y軸、右為對數Y軸。三序列皆自共同起始名目價值2,195,000.00元（圖上為1倍）計算；V04與TX皆扣交易成本，加權指數為未含股息的價格指數。</w:t>
      </w:r>
    </w:p>
    <w:p>
      <w:r>
        <w:drawing>
          <wp:inline xmlns:a="http://schemas.openxmlformats.org/drawingml/2006/main" xmlns:pic="http://schemas.openxmlformats.org/drawingml/2006/picture">
            <wp:extent cx="6120000" cy="2441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wate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圖二：相同起始曝險基數的權益回撤。V04 12.72%、TX 28.64%、加權指數 31.63%；V04空手期間仍保有現金，其市場持倉天數較少。</w:t>
      </w:r>
    </w:p>
    <w:p>
      <w:r>
        <w:t>原一千萬元帳戶的波動配平診斷（事後分析）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指標</w:t>
            </w:r>
          </w:p>
        </w:tc>
        <w:tc>
          <w:tcPr>
            <w:tcW w:type="dxa" w:w="3437"/>
          </w:tcPr>
          <w:p>
            <w:r>
              <w:t>固定一口基準</w:t>
            </w:r>
          </w:p>
        </w:tc>
        <w:tc>
          <w:tcPr>
            <w:tcW w:type="dxa" w:w="3437"/>
          </w:tcPr>
          <w:p>
            <w:r>
              <w:t>波動配平診斷</w:t>
            </w:r>
          </w:p>
        </w:tc>
      </w:tr>
      <w:tr>
        <w:tc>
          <w:tcPr>
            <w:tcW w:type="dxa" w:w="3437"/>
          </w:tcPr>
          <w:p>
            <w:r>
              <w:t>TX-equivalent</w:t>
            </w:r>
          </w:p>
        </w:tc>
        <w:tc>
          <w:tcPr>
            <w:tcW w:type="dxa" w:w="3437"/>
          </w:tcPr>
          <w:p>
            <w:r>
              <w:t>1.000</w:t>
            </w:r>
          </w:p>
        </w:tc>
        <w:tc>
          <w:tcPr>
            <w:tcW w:type="dxa" w:w="3437"/>
          </w:tcPr>
          <w:p>
            <w:r>
              <w:t>0.315</w:t>
            </w:r>
          </w:p>
        </w:tc>
      </w:tr>
      <w:tr>
        <w:tc>
          <w:tcPr>
            <w:tcW w:type="dxa" w:w="3437"/>
          </w:tcPr>
          <w:p>
            <w:r>
              <w:t>年化波動</w:t>
            </w:r>
          </w:p>
        </w:tc>
        <w:tc>
          <w:tcPr>
            <w:tcW w:type="dxa" w:w="3437"/>
          </w:tcPr>
          <w:p>
            <w:r>
              <w:t>7.20%</w:t>
            </w:r>
          </w:p>
        </w:tc>
        <w:tc>
          <w:tcPr>
            <w:tcW w:type="dxa" w:w="3437"/>
          </w:tcPr>
          <w:p>
            <w:r>
              <w:t>2.82%</w:t>
            </w:r>
          </w:p>
        </w:tc>
      </w:tr>
      <w:tr>
        <w:tc>
          <w:tcPr>
            <w:tcW w:type="dxa" w:w="3437"/>
          </w:tcPr>
          <w:p>
            <w:r>
              <w:t>CAGR</w:t>
            </w:r>
          </w:p>
        </w:tc>
        <w:tc>
          <w:tcPr>
            <w:tcW w:type="dxa" w:w="3437"/>
          </w:tcPr>
          <w:p>
            <w:r>
              <w:t>7.72%</w:t>
            </w:r>
          </w:p>
        </w:tc>
        <w:tc>
          <w:tcPr>
            <w:tcW w:type="dxa" w:w="3437"/>
          </w:tcPr>
          <w:p>
            <w:r>
              <w:t>2.90%</w:t>
            </w:r>
          </w:p>
        </w:tc>
      </w:tr>
      <w:tr>
        <w:tc>
          <w:tcPr>
            <w:tcW w:type="dxa" w:w="3437"/>
          </w:tcPr>
          <w:p>
            <w:r>
              <w:t>Sharpe</w:t>
            </w:r>
          </w:p>
        </w:tc>
        <w:tc>
          <w:tcPr>
            <w:tcW w:type="dxa" w:w="3437"/>
          </w:tcPr>
          <w:p>
            <w:r>
              <w:t>1.108</w:t>
            </w:r>
          </w:p>
        </w:tc>
        <w:tc>
          <w:tcPr>
            <w:tcW w:type="dxa" w:w="3437"/>
          </w:tcPr>
          <w:p>
            <w:r>
              <w:t>1.066</w:t>
            </w:r>
          </w:p>
        </w:tc>
      </w:tr>
      <w:tr>
        <w:tc>
          <w:tcPr>
            <w:tcW w:type="dxa" w:w="3437"/>
          </w:tcPr>
          <w:p>
            <w:r>
              <w:t>MDD</w:t>
            </w:r>
          </w:p>
        </w:tc>
        <w:tc>
          <w:tcPr>
            <w:tcW w:type="dxa" w:w="3437"/>
          </w:tcPr>
          <w:p>
            <w:r>
              <w:t>11.12%</w:t>
            </w:r>
          </w:p>
        </w:tc>
        <w:tc>
          <w:tcPr>
            <w:tcW w:type="dxa" w:w="3437"/>
          </w:tcPr>
          <w:p>
            <w:r>
              <w:t>4.25%</w:t>
            </w:r>
          </w:p>
        </w:tc>
      </w:tr>
      <w:tr>
        <w:tc>
          <w:tcPr>
            <w:tcW w:type="dxa" w:w="3437"/>
          </w:tcPr>
          <w:p>
            <w:r>
              <w:t>Calmar</w:t>
            </w:r>
          </w:p>
        </w:tc>
        <w:tc>
          <w:tcPr>
            <w:tcW w:type="dxa" w:w="3437"/>
          </w:tcPr>
          <w:p>
            <w:r>
              <w:t>0.694</w:t>
            </w:r>
          </w:p>
        </w:tc>
        <w:tc>
          <w:tcPr>
            <w:tcW w:type="dxa" w:w="3437"/>
          </w:tcPr>
          <w:p>
            <w:r>
              <w:t>0.682</w:t>
            </w:r>
          </w:p>
        </w:tc>
      </w:tr>
    </w:tbl>
    <w:p>
      <w:r>
        <w:t>配平係數以完整樣本事後估計，使基準年化波動由7.20%調整至策略的2.82%；所得曝險約為0.315口TX-equivalent。基準毛損益、手續費、稅與滑價成本均按相同比例縮放，因此此結果僅用於同風險尺度比較，不代表可直接執行的整口TX交易策略。</w:t>
      </w:r>
    </w:p>
    <w:p>
      <w:r>
        <w:t>同起始名目價值的三序列是主要市場比較；原一千萬元帳戶的波動配平另作診斷。圖表沒有盤中及夜盤評價，不能代表最壞瞬時損失或精確保證金風險。</w:t>
      </w:r>
    </w:p>
    <w:p>
      <w:r>
        <w:br w:type="page"/>
      </w:r>
    </w:p>
    <w:p>
      <w:pPr>
        <w:pStyle w:val="Heading1"/>
      </w:pPr>
      <w:r>
        <w:t>6　成本敏感度與條件診斷</w:t>
      </w:r>
    </w:p>
    <w:p>
      <w:r>
        <w:t>滑價增加後是否仍保留成果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</w:tcPr>
          <w:p>
            <w:r>
              <w:t>每邊滑價</w:t>
            </w:r>
          </w:p>
        </w:tc>
        <w:tc>
          <w:tcPr>
            <w:tcW w:type="dxa" w:w="2062"/>
          </w:tcPr>
          <w:p>
            <w:r>
              <w:t>策略報酬</w:t>
            </w:r>
          </w:p>
        </w:tc>
        <w:tc>
          <w:tcPr>
            <w:tcW w:type="dxa" w:w="2062"/>
          </w:tcPr>
          <w:p>
            <w:r>
              <w:t>策略Sharpe</w:t>
            </w:r>
          </w:p>
        </w:tc>
        <w:tc>
          <w:tcPr>
            <w:tcW w:type="dxa" w:w="2062"/>
          </w:tcPr>
          <w:p>
            <w:r>
              <w:t>基準報酬</w:t>
            </w:r>
          </w:p>
        </w:tc>
        <w:tc>
          <w:tcPr>
            <w:tcW w:type="dxa" w:w="2062"/>
          </w:tcPr>
          <w:p>
            <w:r>
              <w:t>基準Sharpe</w:t>
            </w:r>
          </w:p>
        </w:tc>
      </w:tr>
      <w:tr>
        <w:tc>
          <w:tcPr>
            <w:tcW w:type="dxa" w:w="2062"/>
          </w:tcPr>
          <w:p>
            <w:r>
              <w:t>1點</w:t>
            </w:r>
          </w:p>
        </w:tc>
        <w:tc>
          <w:tcPr>
            <w:tcW w:type="dxa" w:w="2062"/>
          </w:tcPr>
          <w:p>
            <w:r>
              <w:t>33.51%</w:t>
            </w:r>
          </w:p>
        </w:tc>
        <w:tc>
          <w:tcPr>
            <w:tcW w:type="dxa" w:w="2062"/>
          </w:tcPr>
          <w:p>
            <w:r>
              <w:t>1.333</w:t>
            </w:r>
          </w:p>
        </w:tc>
        <w:tc>
          <w:tcPr>
            <w:tcW w:type="dxa" w:w="2062"/>
          </w:tcPr>
          <w:p>
            <w:r>
              <w:t>83.08%</w:t>
            </w:r>
          </w:p>
        </w:tc>
        <w:tc>
          <w:tcPr>
            <w:tcW w:type="dxa" w:w="2062"/>
          </w:tcPr>
          <w:p>
            <w:r>
              <w:t>1.114</w:t>
            </w:r>
          </w:p>
        </w:tc>
      </w:tr>
      <w:tr>
        <w:tc>
          <w:tcPr>
            <w:tcW w:type="dxa" w:w="2062"/>
          </w:tcPr>
          <w:p>
            <w:r>
              <w:t>2點</w:t>
            </w:r>
          </w:p>
        </w:tc>
        <w:tc>
          <w:tcPr>
            <w:tcW w:type="dxa" w:w="2062"/>
          </w:tcPr>
          <w:p>
            <w:r>
              <w:t>32.78%</w:t>
            </w:r>
          </w:p>
        </w:tc>
        <w:tc>
          <w:tcPr>
            <w:tcW w:type="dxa" w:w="2062"/>
          </w:tcPr>
          <w:p>
            <w:r>
              <w:t>1.302</w:t>
            </w:r>
          </w:p>
        </w:tc>
        <w:tc>
          <w:tcPr>
            <w:tcW w:type="dxa" w:w="2062"/>
          </w:tcPr>
          <w:p>
            <w:r>
              <w:t>82.68%</w:t>
            </w:r>
          </w:p>
        </w:tc>
        <w:tc>
          <w:tcPr>
            <w:tcW w:type="dxa" w:w="2062"/>
          </w:tcPr>
          <w:p>
            <w:r>
              <w:t>1.108</w:t>
            </w:r>
          </w:p>
        </w:tc>
      </w:tr>
      <w:tr>
        <w:tc>
          <w:tcPr>
            <w:tcW w:type="dxa" w:w="2062"/>
          </w:tcPr>
          <w:p>
            <w:r>
              <w:t>4點</w:t>
            </w:r>
          </w:p>
        </w:tc>
        <w:tc>
          <w:tcPr>
            <w:tcW w:type="dxa" w:w="2062"/>
          </w:tcPr>
          <w:p>
            <w:r>
              <w:t>31.30%</w:t>
            </w:r>
          </w:p>
        </w:tc>
        <w:tc>
          <w:tcPr>
            <w:tcW w:type="dxa" w:w="2062"/>
          </w:tcPr>
          <w:p>
            <w:r>
              <w:t>1.241</w:t>
            </w:r>
          </w:p>
        </w:tc>
        <w:tc>
          <w:tcPr>
            <w:tcW w:type="dxa" w:w="2062"/>
          </w:tcPr>
          <w:p>
            <w:r>
              <w:t>81.90%</w:t>
            </w:r>
          </w:p>
        </w:tc>
        <w:tc>
          <w:tcPr>
            <w:tcW w:type="dxa" w:w="2062"/>
          </w:tcPr>
          <w:p>
            <w:r>
              <w:t>1.096</w:t>
            </w:r>
          </w:p>
        </w:tc>
      </w:tr>
    </w:tbl>
    <w:p>
      <w:r>
        <w:t>基準2點設定下，策略毛損益3,469,600.00元，成本192,063.42元，占毛獲利5.54%。其中手續費18,400.00元、期交稅26,463.42元、滑價147,200.00元。4點滑價時Sharpe為1.241；固定滑價不能完整模擬極端行情的成交失敗與流動性惡化。</w:t>
      </w:r>
    </w:p>
    <w:p>
      <w:r>
        <w:t>拆開兩個條件：事後消融，不是樣本外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t>規則</w:t>
            </w:r>
          </w:p>
        </w:tc>
        <w:tc>
          <w:tcPr>
            <w:tcW w:type="dxa" w:w="2578"/>
          </w:tcPr>
          <w:p>
            <w:r>
              <w:t>報酬</w:t>
            </w:r>
          </w:p>
        </w:tc>
        <w:tc>
          <w:tcPr>
            <w:tcW w:type="dxa" w:w="2578"/>
          </w:tcPr>
          <w:p>
            <w:r>
              <w:t>Sharpe</w:t>
            </w:r>
          </w:p>
        </w:tc>
        <w:tc>
          <w:tcPr>
            <w:tcW w:type="dxa" w:w="2578"/>
          </w:tcPr>
          <w:p>
            <w:r>
              <w:t>MDD</w:t>
            </w:r>
          </w:p>
        </w:tc>
      </w:tr>
      <w:tr>
        <w:tc>
          <w:tcPr>
            <w:tcW w:type="dxa" w:w="2578"/>
          </w:tcPr>
          <w:p>
            <w:r>
              <w:t>交易強度＋價格趨勢</w:t>
            </w:r>
          </w:p>
        </w:tc>
        <w:tc>
          <w:tcPr>
            <w:tcW w:type="dxa" w:w="2578"/>
          </w:tcPr>
          <w:p>
            <w:r>
              <w:t>32.78%</w:t>
            </w:r>
          </w:p>
        </w:tc>
        <w:tc>
          <w:tcPr>
            <w:tcW w:type="dxa" w:w="2578"/>
          </w:tcPr>
          <w:p>
            <w:r>
              <w:t>1.302</w:t>
            </w:r>
          </w:p>
        </w:tc>
        <w:tc>
          <w:tcPr>
            <w:tcW w:type="dxa" w:w="2578"/>
          </w:tcPr>
          <w:p>
            <w:r>
              <w:t>3.93%</w:t>
            </w:r>
          </w:p>
        </w:tc>
      </w:tr>
      <w:tr>
        <w:tc>
          <w:tcPr>
            <w:tcW w:type="dxa" w:w="2578"/>
          </w:tcPr>
          <w:p>
            <w:r>
              <w:t>交易強度20日單獨</w:t>
            </w:r>
          </w:p>
        </w:tc>
        <w:tc>
          <w:tcPr>
            <w:tcW w:type="dxa" w:w="2578"/>
          </w:tcPr>
          <w:p>
            <w:r>
              <w:t>42.24%</w:t>
            </w:r>
          </w:p>
        </w:tc>
        <w:tc>
          <w:tcPr>
            <w:tcW w:type="dxa" w:w="2578"/>
          </w:tcPr>
          <w:p>
            <w:r>
              <w:t>0.868</w:t>
            </w:r>
          </w:p>
        </w:tc>
        <w:tc>
          <w:tcPr>
            <w:tcW w:type="dxa" w:w="2578"/>
          </w:tcPr>
          <w:p>
            <w:r>
              <w:t>9.48%</w:t>
            </w:r>
          </w:p>
        </w:tc>
      </w:tr>
      <w:tr>
        <w:tc>
          <w:tcPr>
            <w:tcW w:type="dxa" w:w="2578"/>
          </w:tcPr>
          <w:p>
            <w:r>
              <w:t>價格20日趨勢單獨</w:t>
            </w:r>
          </w:p>
        </w:tc>
        <w:tc>
          <w:tcPr>
            <w:tcW w:type="dxa" w:w="2578"/>
          </w:tcPr>
          <w:p>
            <w:r>
              <w:t>48.26%</w:t>
            </w:r>
          </w:p>
        </w:tc>
        <w:tc>
          <w:tcPr>
            <w:tcW w:type="dxa" w:w="2578"/>
          </w:tcPr>
          <w:p>
            <w:r>
              <w:t>0.956</w:t>
            </w:r>
          </w:p>
        </w:tc>
        <w:tc>
          <w:tcPr>
            <w:tcW w:type="dxa" w:w="2578"/>
          </w:tcPr>
          <w:p>
            <w:r>
              <w:t>9.55%</w:t>
            </w:r>
          </w:p>
        </w:tc>
      </w:tr>
    </w:tbl>
    <w:p>
      <w:r>
        <w:t>消融表列出雙條件、單獨法人條件及單獨價格條件在同一期間的結果；報酬、回撤與曝險可分別對照。消融是在選定策略後作的描述，不能消除先前候選挑選造成的偏誤。</w:t>
      </w:r>
    </w:p>
    <w:p>
      <w:r>
        <w:t>交易分布與成果集中</w:t>
      </w:r>
    </w:p>
    <w:p>
      <w:r>
        <w:t>147筆交易勝率51.70%、PF 2.197；持有日曆日平均6.90日、中位數3日，最長84日。前五筆獲利合計占總淨利55.46%；最近兩個曆年（2025、2026）合計占總淨利61.73%，仍需注意少數交易及近期年份的影響。</w:t>
      </w:r>
    </w:p>
    <w:p>
      <w:r>
        <w:t>2018–2022淨利1,082,967.22元、描述性Sharpe 1.140；2023–2026淨利2,194,569.35元、描述性Sharpe 1.481。年度虧損年份：2018、2022、2024。</w:t>
      </w:r>
    </w:p>
    <w:p>
      <w:r>
        <w:br w:type="page"/>
      </w:r>
    </w:p>
    <w:p>
      <w:pPr>
        <w:pStyle w:val="Heading1"/>
      </w:pPr>
      <w:r>
        <w:t>7　風險來源與策略限制</w:t>
      </w:r>
    </w:p>
    <w:p>
      <w:r>
        <w:t>一、法人交易指標的解釋限制</w:t>
      </w:r>
    </w:p>
    <w:p>
      <w:r>
        <w:t>本研究的交易強度衡量三大法人的當日淨成交流量，而非收盤後仍持有的未平倉部位。以多空交易總口數作為分母，可降低不同交易活躍程度對原始淨口數的影響；然而三類法人交易同時可能包含方向投資、股票與選擇權避險、套利及造市活動，因此公開彙總資料無法識別各機構的實際交易動機。[2]</w:t>
      </w:r>
    </w:p>
    <w:p>
      <w:r>
        <w:t>20日平均用於降低單日成交流量雜訊，再以價格高於20日均線作為趨勢確認。回測中較高的Sharpe僅代表此規則在目前樣本中的歷史風險調整績效；由於策略採多單／空手架構，績效同時受到長期多頭趨勢與隔夜報酬影響，不能將全部成果歸因於法人資訊優勢。</w:t>
      </w:r>
    </w:p>
    <w:p>
      <w:r>
        <w:t>逐筆比對兩份法人來源共6,090筆，其中2筆在2026/07/06不同，造成20個交易日的Q20變化，但本樣本0天訊號改變。歷史逐日初次發布快照與修訂軌跡未留存，故不能聲稱全期資料時點已獨立驗證。</w:t>
      </w:r>
    </w:p>
    <w:p>
      <w:r>
        <w:t>近月未調整價格均線有換月價差敏感度：以前一日兩契約收盤重疊價差調整訊號後，14天訊號不同，診斷版淨利3,028,972.77元、Sharpe 1.193；原版為3,277,536.58元、1.302。此比較只變更訊號，實際成交仍按原契約，不取代正式V04。</w:t>
      </w:r>
    </w:p>
    <w:p>
      <w:r>
        <w:t>價格單獨策略按完整樣本事後配平至相同年波動的TX-equivalent為0.450，淨利2,173,989.12元、Sharpe 0.908；V04為3,277,536.58元、1.302。這是風險尺度與曝險差異的描述，配平小數口不能直接交易，亦非樣本外證據。</w:t>
      </w:r>
    </w:p>
    <w:p>
      <w:r>
        <w:t>二、盤整與快速反轉環境</w:t>
      </w:r>
    </w:p>
    <w:p>
      <w:r>
        <w:t>在盤整、急漲急跌或V形反轉環境中，20日平均具有滯後性，價格亦可能在MA20附近反覆穿越。當條件短暫失效後退出、再度成立後重新進場，可能造成追價、較低價格退出或錯失快速反彈。雙條件一致仍可能漏接行情或反覆進出。</w:t>
      </w:r>
    </w:p>
    <w:p>
      <w:r>
        <w:t>本回測未加入事後最佳化的固定點數停損。現有資料僅含日盤OHLC，缺乏完整夜盤價格路徑、委託排隊及極端行情成交資訊，因此若加入盤中觸價停損，將引入無法可靠驗證的成交假設。基準版本僅依訊號消退、轉倉與期末清算執行出場。</w:t>
      </w:r>
    </w:p>
    <w:p>
      <w:r>
        <w:t>三、隔夜跳空與流動性風險</w:t>
      </w:r>
    </w:p>
    <w:p>
      <w:r>
        <w:t>本策略實際持有隔夜部位，因此海外市場、匯率與突發事件可能在臺指期日盤重新開市前改變價格。即使隔日日盤開盤已產生退出需求，仍須承受前一日收盤至下一交易日開盤的跳空風險；若開盤流動性不足，實際成交損失亦可能高於固定2點滑價假設。</w:t>
      </w:r>
    </w:p>
    <w:p>
      <w:r>
        <w:t>以一口TX起始名目價值計算，日末MDD為12.72%；一千萬元帳戶口徑為3.93%，因部分資金閒置而較低。兩者均非盤中可能遭受的最大損失；進一步評估仍需夜盤、盤中極端波動與開盤成交品質。</w:t>
      </w:r>
    </w:p>
    <w:p>
      <w:r>
        <w:br w:type="page"/>
      </w:r>
    </w:p>
    <w:p>
      <w:pPr>
        <w:pStyle w:val="Heading1"/>
      </w:pPr>
      <w:r>
        <w:t>8　結論與後續驗證</w:t>
      </w:r>
    </w:p>
    <w:p>
      <w:r>
        <w:t>一、績效結論</w:t>
      </w:r>
    </w:p>
    <w:p>
      <w:r>
        <w:t>按首日一口TX名目價值比較，V04報酬149.32%、Sharpe 1.367、MDD 12.72%；同口TX買進持有為376.69%、1.147、28.64%；加權指數價格報酬為350.40%、1.064、31.63%。V04較低的市場持倉與回撤不能單獨證明超額報酬，其相對加權指數的歷史Information Ratio為-0.493。</w:t>
      </w:r>
    </w:p>
    <w:p>
      <w:r>
        <w:t>策略最長回撤期間為482個交易日，基準為366日。勝率51.70%、Profit Factor 2.197；前五筆交易合計占淨利55.46%。回撤時長與獲利集中度須與風險指標一起閱讀。</w:t>
      </w:r>
    </w:p>
    <w:p>
      <w:r>
        <w:t>二、樣本選擇偏誤與驗證要求</w:t>
      </w:r>
    </w:p>
    <w:p>
      <w:r>
        <w:t>本版本由18個候選規則比較後選出，並非在完全未觀察資料的情況下事先固定。因此，即使滑價敏感度與時間分組結果仍為正，也不能視為獨立樣本外證據。目前的Sharpe可能包含策略挑選造成的選擇偏誤，應在解讀績效時明確納入。</w:t>
      </w:r>
    </w:p>
    <w:p>
      <w:r>
        <w:t>後續驗證應先凍結20日交易強度、20日價格均線、零門檻及成本假設，再以未參與策略設計的新資料進行樣本外檢驗。若進一步測試結算日排除、均線參數或停損規則，應事前限定假說與參數範圍，並完整報告所有結果，以降低多重嘗試造成的偏誤。</w:t>
      </w:r>
    </w:p>
    <w:p>
      <w:r>
        <w:t>綜合而言，策略規則可追溯且歷史成本後報酬為正，但同期大盤與TX買進持有累積報酬均較高；V04主要呈現較少持倉及較低回撤，未能據此認定法人訊號創造穩定超額報酬。仍須完成獨立樣本外驗證、夜盤與盤中風險及資料發布時點檢查。</w:t>
      </w:r>
    </w:p>
    <w:p>
      <w:r>
        <w:t>三、資料來源與計算口徑</w:t>
      </w:r>
    </w:p>
    <w:p>
      <w:r>
        <w:t>[1] 臺灣期貨交易所，臺股期貨契約規格：https://www.taifex.com.tw/cht/2/tX</w:t>
        <w:br/>
        <w:t>[2] 臺灣期貨交易所，三大法人交易資訊：https://www.taifex.com.tw/cht/3/futContractsDateView</w:t>
        <w:br/>
        <w:t>[3] 臺灣期貨交易所，費率表：https://www.taifex.com.tw/cht/4/feeSchedules</w:t>
        <w:br/>
        <w:t>歷史行情：https://www.taifex.com.tw/cht/3/dlFutDailyMarketView</w:t>
        <w:br/>
        <w:t>FinMind：https://finmind.github.io/tutor/TaiwanMarket/Derivative/</w:t>
        <w:br/>
        <w:t>加權指數：臺灣證券交易所每日市場成交資訊與發行量加權股價指數歷史資料，來源與雜湊見source_audits/taiex_sources.json。</w:t>
      </w:r>
    </w:p>
    <w:p>
      <w:r>
        <w:t>Sharpe＝日報酬平均／日報酬樣本標準差×√252；Calmar＝CAGR／最大回撤比例。主要比較將兩套實際一口TX損益置於相同起始名目價值，加權指數按首日開盤買入等值指數單位；指數未含股息及追蹤費用。原一千萬元帳戶與事後波動配平僅作補充。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