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並以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資料</w:t>
            </w:r>
          </w:p>
        </w:tc>
        <w:tc>
          <w:tcPr>
            <w:tcW w:type="dxa" w:w="5156"/>
          </w:tcPr>
          <w:p>
            <w:r>
              <w:t>來源、期間與清理</w:t>
            </w:r>
          </w:p>
        </w:tc>
      </w:tr>
      <w:tr>
        <w:tc>
          <w:tcPr>
            <w:tcW w:type="dxa" w:w="5156"/>
          </w:tcPr>
          <w:p>
            <w:r>
              <w:t>TX日盤行情</w:t>
            </w:r>
          </w:p>
        </w:tc>
        <w:tc>
          <w:tcPr>
            <w:tcW w:type="dxa" w:w="5156"/>
          </w:tcPr>
          <w:p>
            <w:r>
              <w:t>TAIFEX年度ZIP及2026年月檔；2016/10/05～2026/10/05，2,438日、14,202筆實際月契約、126個契約。僅保留一般交易時段、六碼月契約。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6"/>
          </w:tcPr>
          <w:p>
            <w:r>
              <w:t>三大法人交易</w:t>
            </w:r>
          </w:p>
        </w:tc>
        <w:tc>
          <w:tcPr>
            <w:tcW w:type="dxa" w:w="5156"/>
          </w:tcPr>
          <w:p>
            <w:r>
              <w:t>FinMind TX歷史資料與TAIFEX格式原始資料；2018/06/05～2026/10/05，2,030日、6,090筆三類法人資料。</w:t>
            </w:r>
          </w:p>
        </w:tc>
      </w:tr>
      <w:tr>
        <w:tc>
          <w:tcPr>
            <w:tcW w:type="dxa" w:w="5156"/>
          </w:tcPr>
          <w:p>
            <w:r>
              <w:t>正式回測期間</w:t>
            </w:r>
          </w:p>
        </w:tc>
        <w:tc>
          <w:tcPr>
            <w:tcW w:type="dxa" w:w="5156"/>
          </w:tcPr>
          <w:p>
            <w:r>
              <w:t>2018/08/31～2026/10/05，共1,968日，約8.1年。沿用前版共同起點，以便比較；本策略本身需要20日暖身。</w:t>
            </w:r>
          </w:p>
        </w:tc>
      </w:tr>
      <w:tr>
        <w:tc>
          <w:tcPr>
            <w:tcW w:type="dxa" w:w="5156"/>
          </w:tcPr>
          <w:p>
            <w:r>
              <w:t>缺漏處理</w:t>
            </w:r>
          </w:p>
        </w:tc>
        <w:tc>
          <w:tcPr>
            <w:tcW w:type="dxa" w:w="5156"/>
          </w:tcPr>
          <w:p>
            <w:r>
              <w:t>2016/10/05～2018/06/04缺408日籌碼，未補造。較早官方交易金額淨額空白，但本策略只用完整的交易口數。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主要結果：策略報酬32.78%、Sharpe 1.302、MDD 3.93%；基準報酬82.68%、Sharpe 1.108、MDD 11.12%。策略風險調整報酬較高，絕對收益較低。</w:t>
      </w:r>
    </w:p>
    <w:p>
      <w:r>
        <w:br w:type="page"/>
      </w:r>
    </w:p>
    <w:p>
      <w:pPr>
        <w:pStyle w:val="Heading1"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欄位／指標</w:t>
            </w:r>
          </w:p>
        </w:tc>
        <w:tc>
          <w:tcPr>
            <w:tcW w:type="dxa" w:w="5156"/>
          </w:tcPr>
          <w:p>
            <w:r>
              <w:t>定義與用途</w:t>
            </w:r>
          </w:p>
        </w:tc>
      </w:tr>
      <w:tr>
        <w:tc>
          <w:tcPr>
            <w:tcW w:type="dxa" w:w="5156"/>
          </w:tcPr>
          <w:p>
            <w:r>
              <w:t>日期／實際契約月份</w:t>
            </w:r>
          </w:p>
        </w:tc>
        <w:tc>
          <w:tcPr>
            <w:tcW w:type="dxa" w:w="5156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6"/>
          </w:tcPr>
          <w:p>
            <w:r>
              <w:t>多方／空方交易口數</w:t>
            </w:r>
          </w:p>
        </w:tc>
        <w:tc>
          <w:tcPr>
            <w:tcW w:type="dxa" w:w="5156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6"/>
          </w:tcPr>
          <w:p>
            <w:r>
              <w:t>法人淨交易口數 B</w:t>
            </w:r>
          </w:p>
        </w:tc>
        <w:tc>
          <w:tcPr>
            <w:tcW w:type="dxa" w:w="5156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6"/>
          </w:tcPr>
          <w:p>
            <w:r>
              <w:t>法人總交易口數 V</w:t>
            </w:r>
          </w:p>
        </w:tc>
        <w:tc>
          <w:tcPr>
            <w:tcW w:type="dxa" w:w="5156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6"/>
          </w:tcPr>
          <w:p>
            <w:r>
              <w:t>交易強度 Q=B/V</w:t>
            </w:r>
          </w:p>
        </w:tc>
        <w:tc>
          <w:tcPr>
            <w:tcW w:type="dxa" w:w="5156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6"/>
          </w:tcPr>
          <w:p>
            <w:r>
              <w:t>Q20／MA20</w:t>
            </w:r>
          </w:p>
        </w:tc>
        <w:tc>
          <w:tcPr>
            <w:tcW w:type="dxa" w:w="5156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r>
        <w:br w:type="page"/>
      </w:r>
    </w:p>
    <w:p>
      <w:pPr>
        <w:pStyle w:val="Heading1"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設定</w:t>
            </w:r>
          </w:p>
        </w:tc>
        <w:tc>
          <w:tcPr>
            <w:tcW w:type="dxa" w:w="5156"/>
          </w:tcPr>
          <w:p>
            <w:r>
              <w:t>策略與基準共同口徑</w:t>
            </w:r>
          </w:p>
        </w:tc>
      </w:tr>
      <w:tr>
        <w:tc>
          <w:tcPr>
            <w:tcW w:type="dxa" w:w="5156"/>
          </w:tcPr>
          <w:p>
            <w:r>
              <w:t>本金／口數／乘數</w:t>
            </w:r>
          </w:p>
        </w:tc>
        <w:tc>
          <w:tcPr>
            <w:tcW w:type="dxa" w:w="5156"/>
          </w:tcPr>
          <w:p>
            <w:r>
              <w:t>本金1,000萬元；固定一口、不加碼；每點200元。</w:t>
            </w:r>
          </w:p>
        </w:tc>
      </w:tr>
      <w:tr>
        <w:tc>
          <w:tcPr>
            <w:tcW w:type="dxa" w:w="5156"/>
          </w:tcPr>
          <w:p>
            <w:r>
              <w:t>手續費</w:t>
            </w:r>
          </w:p>
        </w:tc>
        <w:tc>
          <w:tcPr>
            <w:tcW w:type="dxa" w:w="5156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6"/>
          </w:tcPr>
          <w:p>
            <w:r>
              <w:t>滑價</w:t>
            </w:r>
          </w:p>
        </w:tc>
        <w:tc>
          <w:tcPr>
            <w:tcW w:type="dxa" w:w="5156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6"/>
          </w:tcPr>
          <w:p>
            <w:r>
              <w:t>期交稅</w:t>
            </w:r>
          </w:p>
        </w:tc>
        <w:tc>
          <w:tcPr>
            <w:tcW w:type="dxa" w:w="5156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6"/>
          </w:tcPr>
          <w:p>
            <w:r>
              <w:t>資金與槓桿</w:t>
            </w:r>
          </w:p>
        </w:tc>
        <w:tc>
          <w:tcPr>
            <w:tcW w:type="dxa" w:w="5156"/>
          </w:tcPr>
          <w:p>
            <w:r>
              <w:t>資金足以覆蓋完整契約名目價值及估計成本；全期通過。未使用保證金槓桿或重建歷史追繳。</w:t>
            </w:r>
          </w:p>
        </w:tc>
      </w:tr>
      <w:tr>
        <w:tc>
          <w:tcPr>
            <w:tcW w:type="dxa" w:w="5156"/>
          </w:tcPr>
          <w:p>
            <w:r>
              <w:t>日末評價與報酬</w:t>
            </w:r>
          </w:p>
        </w:tc>
        <w:tc>
          <w:tcPr>
            <w:tcW w:type="dxa" w:w="5156"/>
          </w:tcPr>
          <w:p>
            <w:r>
              <w:t>用收盤價評價總權益，非以每日結算價重建現金流。日損益／前日權益，含空手日。</w:t>
            </w:r>
          </w:p>
        </w:tc>
      </w:tr>
      <w:tr>
        <w:tc>
          <w:tcPr>
            <w:tcW w:type="dxa" w:w="5156"/>
          </w:tcPr>
          <w:p>
            <w:r>
              <w:t>年化與利息</w:t>
            </w:r>
          </w:p>
        </w:tc>
        <w:tc>
          <w:tcPr>
            <w:tcW w:type="dxa" w:w="5156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r>
        <w:br w:type="page"/>
      </w:r>
    </w:p>
    <w:p>
      <w:pPr>
        <w:pStyle w:val="Heading1"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成本後指標</w:t>
            </w:r>
          </w:p>
        </w:tc>
        <w:tc>
          <w:tcPr>
            <w:tcW w:type="dxa" w:w="3437"/>
          </w:tcPr>
          <w:p>
            <w:r>
              <w:t>法人交易強度＋趨勢</w:t>
            </w:r>
          </w:p>
        </w:tc>
        <w:tc>
          <w:tcPr>
            <w:tcW w:type="dxa" w:w="3437"/>
          </w:tcPr>
          <w:p>
            <w:r>
              <w:t>Buy-and-Hold基準</w:t>
            </w:r>
          </w:p>
        </w:tc>
      </w:tr>
      <w:tr>
        <w:tc>
          <w:tcPr>
            <w:tcW w:type="dxa" w:w="3437"/>
          </w:tcPr>
          <w:p>
            <w:r>
              <w:t>累積總報酬</w:t>
            </w:r>
          </w:p>
        </w:tc>
        <w:tc>
          <w:tcPr>
            <w:tcW w:type="dxa" w:w="3437"/>
          </w:tcPr>
          <w:p>
            <w:r>
              <w:t>32.78%</w:t>
            </w:r>
          </w:p>
        </w:tc>
        <w:tc>
          <w:tcPr>
            <w:tcW w:type="dxa" w:w="3437"/>
          </w:tcPr>
          <w:p>
            <w:r>
              <w:t>82.68%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3.56%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</w:tr>
      <w:tr>
        <w:tc>
          <w:tcPr>
            <w:tcW w:type="dxa" w:w="3437"/>
          </w:tcPr>
          <w:p>
            <w:r>
              <w:t>期末資金（元）</w:t>
            </w:r>
          </w:p>
        </w:tc>
        <w:tc>
          <w:tcPr>
            <w:tcW w:type="dxa" w:w="3437"/>
          </w:tcPr>
          <w:p>
            <w:r>
              <w:t>13,277,536.58</w:t>
            </w:r>
          </w:p>
        </w:tc>
        <w:tc>
          <w:tcPr>
            <w:tcW w:type="dxa" w:w="3437"/>
          </w:tcPr>
          <w:p>
            <w:r>
              <w:t>18,268,352.66</w:t>
            </w:r>
          </w:p>
        </w:tc>
      </w:tr>
      <w:tr>
        <w:tc>
          <w:tcPr>
            <w:tcW w:type="dxa" w:w="3437"/>
          </w:tcPr>
          <w:p>
            <w:r>
              <w:t>交易次數／段數</w:t>
            </w:r>
          </w:p>
        </w:tc>
        <w:tc>
          <w:tcPr>
            <w:tcW w:type="dxa" w:w="3437"/>
          </w:tcPr>
          <w:p>
            <w:r>
              <w:t>147</w:t>
            </w:r>
          </w:p>
        </w:tc>
        <w:tc>
          <w:tcPr>
            <w:tcW w:type="dxa" w:w="3437"/>
          </w:tcPr>
          <w:p>
            <w:r>
              <w:t>98</w:t>
            </w:r>
          </w:p>
        </w:tc>
      </w:tr>
      <w:tr>
        <w:tc>
          <w:tcPr>
            <w:tcW w:type="dxa" w:w="3437"/>
          </w:tcPr>
          <w:p>
            <w:r>
              <w:t>勝率</w:t>
            </w:r>
          </w:p>
        </w:tc>
        <w:tc>
          <w:tcPr>
            <w:tcW w:type="dxa" w:w="3437"/>
          </w:tcPr>
          <w:p>
            <w:r>
              <w:t>51.70%</w:t>
            </w:r>
          </w:p>
        </w:tc>
        <w:tc>
          <w:tcPr>
            <w:tcW w:type="dxa" w:w="3437"/>
          </w:tcPr>
          <w:p>
            <w:r>
              <w:t>67.35%</w:t>
            </w:r>
          </w:p>
        </w:tc>
      </w:tr>
      <w:tr>
        <w:tc>
          <w:tcPr>
            <w:tcW w:type="dxa" w:w="3437"/>
          </w:tcPr>
          <w:p>
            <w:r>
              <w:t>Profit Factor</w:t>
            </w:r>
          </w:p>
        </w:tc>
        <w:tc>
          <w:tcPr>
            <w:tcW w:type="dxa" w:w="3437"/>
          </w:tcPr>
          <w:p>
            <w:r>
              <w:t>2.197</w:t>
            </w:r>
          </w:p>
        </w:tc>
        <w:tc>
          <w:tcPr>
            <w:tcW w:type="dxa" w:w="3437"/>
          </w:tcPr>
          <w:p>
            <w:r>
              <w:t>2.846</w:t>
            </w:r>
          </w:p>
        </w:tc>
      </w:tr>
      <w:tr>
        <w:tc>
          <w:tcPr>
            <w:tcW w:type="dxa" w:w="3437"/>
          </w:tcPr>
          <w:p>
            <w:r>
              <w:t>最大回撤（元）</w:t>
            </w:r>
          </w:p>
        </w:tc>
        <w:tc>
          <w:tcPr>
            <w:tcW w:type="dxa" w:w="3437"/>
          </w:tcPr>
          <w:p>
            <w:r>
              <w:t>487,118.76</w:t>
            </w:r>
          </w:p>
        </w:tc>
        <w:tc>
          <w:tcPr>
            <w:tcW w:type="dxa" w:w="3437"/>
          </w:tcPr>
          <w:p>
            <w:r>
              <w:t>1,693,859.80</w:t>
            </w:r>
          </w:p>
        </w:tc>
      </w:tr>
      <w:tr>
        <w:tc>
          <w:tcPr>
            <w:tcW w:type="dxa" w:w="3437"/>
          </w:tcPr>
          <w:p>
            <w:r>
              <w:t>最大回撤（%）</w:t>
            </w:r>
          </w:p>
        </w:tc>
        <w:tc>
          <w:tcPr>
            <w:tcW w:type="dxa" w:w="3437"/>
          </w:tcPr>
          <w:p>
            <w:r>
              <w:t>3.93%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</w:tr>
      <w:tr>
        <w:tc>
          <w:tcPr>
            <w:tcW w:type="dxa" w:w="3437"/>
          </w:tcPr>
          <w:p>
            <w:r>
              <w:t>最長回撤：交易日</w:t>
            </w:r>
          </w:p>
        </w:tc>
        <w:tc>
          <w:tcPr>
            <w:tcW w:type="dxa" w:w="3437"/>
          </w:tcPr>
          <w:p>
            <w:r>
              <w:t>482</w:t>
            </w:r>
          </w:p>
        </w:tc>
        <w:tc>
          <w:tcPr>
            <w:tcW w:type="dxa" w:w="3437"/>
          </w:tcPr>
          <w:p>
            <w:r>
              <w:t>366</w:t>
            </w:r>
          </w:p>
        </w:tc>
      </w:tr>
      <w:tr>
        <w:tc>
          <w:tcPr>
            <w:tcW w:type="dxa" w:w="3437"/>
          </w:tcPr>
          <w:p>
            <w:r>
              <w:t>最長回撤：日曆日</w:t>
            </w:r>
          </w:p>
        </w:tc>
        <w:tc>
          <w:tcPr>
            <w:tcW w:type="dxa" w:w="3437"/>
          </w:tcPr>
          <w:p>
            <w:r>
              <w:t>722</w:t>
            </w:r>
          </w:p>
        </w:tc>
        <w:tc>
          <w:tcPr>
            <w:tcW w:type="dxa" w:w="3437"/>
          </w:tcPr>
          <w:p>
            <w:r>
              <w:t>555</w:t>
            </w:r>
          </w:p>
        </w:tc>
      </w:tr>
      <w:tr>
        <w:tc>
          <w:tcPr>
            <w:tcW w:type="dxa" w:w="3437"/>
          </w:tcPr>
          <w:p>
            <w:r>
              <w:t>Sharpe（rf=0）</w:t>
            </w:r>
          </w:p>
        </w:tc>
        <w:tc>
          <w:tcPr>
            <w:tcW w:type="dxa" w:w="3437"/>
          </w:tcPr>
          <w:p>
            <w:r>
              <w:t>1.302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0.906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</w:tr>
      <w:tr>
        <w:tc>
          <w:tcPr>
            <w:tcW w:type="dxa" w:w="3437"/>
          </w:tcPr>
          <w:p>
            <w:r>
              <w:t>全部成本（元）</w:t>
            </w:r>
          </w:p>
        </w:tc>
        <w:tc>
          <w:tcPr>
            <w:tcW w:type="dxa" w:w="3437"/>
          </w:tcPr>
          <w:p>
            <w:r>
              <w:t>192,063.42</w:t>
            </w:r>
          </w:p>
        </w:tc>
        <w:tc>
          <w:tcPr>
            <w:tcW w:type="dxa" w:w="3437"/>
          </w:tcPr>
          <w:p>
            <w:r>
              <w:t>102,847.34</w:t>
            </w:r>
          </w:p>
        </w:tc>
      </w:tr>
    </w:tbl>
    <w:p>
      <w:r>
        <w:t>同期間、同本金、同一口。策略按一次進場至訊號退出計交易，合併轉倉成本；基準在每次換月結束一段交易。因此勝率／PF的持有頻率不同。MDD金額及比例各自取全期最大值，可能發生於不同日期。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年度</w:t>
            </w:r>
          </w:p>
        </w:tc>
        <w:tc>
          <w:tcPr>
            <w:tcW w:type="dxa" w:w="2062"/>
          </w:tcPr>
          <w:p>
            <w:r>
              <w:t>策略損益（元）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基準損益（元）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</w:tr>
      <w:tr>
        <w:tc>
          <w:tcPr>
            <w:tcW w:type="dxa" w:w="2062"/>
          </w:tcPr>
          <w:p>
            <w:r>
              <w:t>2018</w:t>
            </w:r>
          </w:p>
        </w:tc>
        <w:tc>
          <w:tcPr>
            <w:tcW w:type="dxa" w:w="2062"/>
          </w:tcPr>
          <w:p>
            <w:r>
              <w:t>-144,387</w:t>
            </w:r>
          </w:p>
        </w:tc>
        <w:tc>
          <w:tcPr>
            <w:tcW w:type="dxa" w:w="2062"/>
          </w:tcPr>
          <w:p>
            <w:r>
              <w:t>-1.44%</w:t>
            </w:r>
          </w:p>
        </w:tc>
        <w:tc>
          <w:tcPr>
            <w:tcW w:type="dxa" w:w="2062"/>
          </w:tcPr>
          <w:p>
            <w:r>
              <w:t>-247,015</w:t>
            </w:r>
          </w:p>
        </w:tc>
        <w:tc>
          <w:tcPr>
            <w:tcW w:type="dxa" w:w="2062"/>
          </w:tcPr>
          <w:p>
            <w:r>
              <w:t>-2.47%</w:t>
            </w:r>
          </w:p>
        </w:tc>
      </w:tr>
      <w:tr>
        <w:tc>
          <w:tcPr>
            <w:tcW w:type="dxa" w:w="2062"/>
          </w:tcPr>
          <w:p>
            <w:r>
              <w:t>2019</w:t>
            </w:r>
          </w:p>
        </w:tc>
        <w:tc>
          <w:tcPr>
            <w:tcW w:type="dxa" w:w="2062"/>
          </w:tcPr>
          <w:p>
            <w:r>
              <w:t>439,590</w:t>
            </w:r>
          </w:p>
        </w:tc>
        <w:tc>
          <w:tcPr>
            <w:tcW w:type="dxa" w:w="2062"/>
          </w:tcPr>
          <w:p>
            <w:r>
              <w:t>4.46%</w:t>
            </w:r>
          </w:p>
        </w:tc>
        <w:tc>
          <w:tcPr>
            <w:tcW w:type="dxa" w:w="2062"/>
          </w:tcPr>
          <w:p>
            <w:r>
              <w:t>548,965</w:t>
            </w:r>
          </w:p>
        </w:tc>
        <w:tc>
          <w:tcPr>
            <w:tcW w:type="dxa" w:w="2062"/>
          </w:tcPr>
          <w:p>
            <w:r>
              <w:t>5.63%</w:t>
            </w:r>
          </w:p>
        </w:tc>
      </w:tr>
      <w:tr>
        <w:tc>
          <w:tcPr>
            <w:tcW w:type="dxa" w:w="2062"/>
          </w:tcPr>
          <w:p>
            <w:r>
              <w:t>2020</w:t>
            </w:r>
          </w:p>
        </w:tc>
        <w:tc>
          <w:tcPr>
            <w:tcW w:type="dxa" w:w="2062"/>
          </w:tcPr>
          <w:p>
            <w:r>
              <w:t>639,655</w:t>
            </w:r>
          </w:p>
        </w:tc>
        <w:tc>
          <w:tcPr>
            <w:tcW w:type="dxa" w:w="2062"/>
          </w:tcPr>
          <w:p>
            <w:r>
              <w:t>6.21%</w:t>
            </w:r>
          </w:p>
        </w:tc>
        <w:tc>
          <w:tcPr>
            <w:tcW w:type="dxa" w:w="2062"/>
          </w:tcPr>
          <w:p>
            <w:r>
              <w:t>733,649</w:t>
            </w:r>
          </w:p>
        </w:tc>
        <w:tc>
          <w:tcPr>
            <w:tcW w:type="dxa" w:w="2062"/>
          </w:tcPr>
          <w:p>
            <w:r>
              <w:t>7.12%</w:t>
            </w:r>
          </w:p>
        </w:tc>
      </w:tr>
      <w:tr>
        <w:tc>
          <w:tcPr>
            <w:tcW w:type="dxa" w:w="2062"/>
          </w:tcPr>
          <w:p>
            <w:r>
              <w:t>2021</w:t>
            </w:r>
          </w:p>
        </w:tc>
        <w:tc>
          <w:tcPr>
            <w:tcW w:type="dxa" w:w="2062"/>
          </w:tcPr>
          <w:p>
            <w:r>
              <w:t>194,363</w:t>
            </w:r>
          </w:p>
        </w:tc>
        <w:tc>
          <w:tcPr>
            <w:tcW w:type="dxa" w:w="2062"/>
          </w:tcPr>
          <w:p>
            <w:r>
              <w:t>1.78%</w:t>
            </w:r>
          </w:p>
        </w:tc>
        <w:tc>
          <w:tcPr>
            <w:tcW w:type="dxa" w:w="2062"/>
          </w:tcPr>
          <w:p>
            <w:r>
              <w:t>884,182</w:t>
            </w:r>
          </w:p>
        </w:tc>
        <w:tc>
          <w:tcPr>
            <w:tcW w:type="dxa" w:w="2062"/>
          </w:tcPr>
          <w:p>
            <w:r>
              <w:t>8.01%</w:t>
            </w:r>
          </w:p>
        </w:tc>
      </w:tr>
      <w:tr>
        <w:tc>
          <w:tcPr>
            <w:tcW w:type="dxa" w:w="2062"/>
          </w:tcPr>
          <w:p>
            <w:r>
              <w:t>2022</w:t>
            </w:r>
          </w:p>
        </w:tc>
        <w:tc>
          <w:tcPr>
            <w:tcW w:type="dxa" w:w="2062"/>
          </w:tcPr>
          <w:p>
            <w:r>
              <w:t>-46,253</w:t>
            </w:r>
          </w:p>
        </w:tc>
        <w:tc>
          <w:tcPr>
            <w:tcW w:type="dxa" w:w="2062"/>
          </w:tcPr>
          <w:p>
            <w:r>
              <w:t>-0.42%</w:t>
            </w:r>
          </w:p>
        </w:tc>
        <w:tc>
          <w:tcPr>
            <w:tcW w:type="dxa" w:w="2062"/>
          </w:tcPr>
          <w:p>
            <w:r>
              <w:t>-624,106</w:t>
            </w:r>
          </w:p>
        </w:tc>
        <w:tc>
          <w:tcPr>
            <w:tcW w:type="dxa" w:w="2062"/>
          </w:tcPr>
          <w:p>
            <w:r>
              <w:t>-5.24%</w:t>
            </w:r>
          </w:p>
        </w:tc>
      </w:tr>
      <w:tr>
        <w:tc>
          <w:tcPr>
            <w:tcW w:type="dxa" w:w="2062"/>
          </w:tcPr>
          <w:p>
            <w:r>
              <w:t>2023</w:t>
            </w:r>
          </w:p>
        </w:tc>
        <w:tc>
          <w:tcPr>
            <w:tcW w:type="dxa" w:w="2062"/>
          </w:tcPr>
          <w:p>
            <w:r>
              <w:t>192,431</w:t>
            </w:r>
          </w:p>
        </w:tc>
        <w:tc>
          <w:tcPr>
            <w:tcW w:type="dxa" w:w="2062"/>
          </w:tcPr>
          <w:p>
            <w:r>
              <w:t>1.74%</w:t>
            </w:r>
          </w:p>
        </w:tc>
        <w:tc>
          <w:tcPr>
            <w:tcW w:type="dxa" w:w="2062"/>
          </w:tcPr>
          <w:p>
            <w:r>
              <w:t>811,432</w:t>
            </w:r>
          </w:p>
        </w:tc>
        <w:tc>
          <w:tcPr>
            <w:tcW w:type="dxa" w:w="2062"/>
          </w:tcPr>
          <w:p>
            <w:r>
              <w:t>7.18%</w:t>
            </w:r>
          </w:p>
        </w:tc>
      </w:tr>
      <w:tr>
        <w:tc>
          <w:tcPr>
            <w:tcW w:type="dxa" w:w="2062"/>
          </w:tcPr>
          <w:p>
            <w:r>
              <w:t>2024</w:t>
            </w:r>
          </w:p>
        </w:tc>
        <w:tc>
          <w:tcPr>
            <w:tcW w:type="dxa" w:w="2062"/>
          </w:tcPr>
          <w:p>
            <w:r>
              <w:t>-21,064</w:t>
            </w:r>
          </w:p>
        </w:tc>
        <w:tc>
          <w:tcPr>
            <w:tcW w:type="dxa" w:w="2062"/>
          </w:tcPr>
          <w:p>
            <w:r>
              <w:t>-0.19%</w:t>
            </w:r>
          </w:p>
        </w:tc>
        <w:tc>
          <w:tcPr>
            <w:tcW w:type="dxa" w:w="2062"/>
          </w:tcPr>
          <w:p>
            <w:r>
              <w:t>999,143</w:t>
            </w:r>
          </w:p>
        </w:tc>
        <w:tc>
          <w:tcPr>
            <w:tcW w:type="dxa" w:w="2062"/>
          </w:tcPr>
          <w:p>
            <w:r>
              <w:t>8.25%</w:t>
            </w:r>
          </w:p>
        </w:tc>
      </w:tr>
      <w:tr>
        <w:tc>
          <w:tcPr>
            <w:tcW w:type="dxa" w:w="2062"/>
          </w:tcPr>
          <w:p>
            <w:r>
              <w:t>2025</w:t>
            </w:r>
          </w:p>
        </w:tc>
        <w:tc>
          <w:tcPr>
            <w:tcW w:type="dxa" w:w="2062"/>
          </w:tcPr>
          <w:p>
            <w:r>
              <w:t>771,097</w:t>
            </w:r>
          </w:p>
        </w:tc>
        <w:tc>
          <w:tcPr>
            <w:tcW w:type="dxa" w:w="2062"/>
          </w:tcPr>
          <w:p>
            <w:r>
              <w:t>6.85%</w:t>
            </w:r>
          </w:p>
        </w:tc>
        <w:tc>
          <w:tcPr>
            <w:tcW w:type="dxa" w:w="2062"/>
          </w:tcPr>
          <w:p>
            <w:r>
              <w:t>1,268,113</w:t>
            </w:r>
          </w:p>
        </w:tc>
        <w:tc>
          <w:tcPr>
            <w:tcW w:type="dxa" w:w="2062"/>
          </w:tcPr>
          <w:p>
            <w:r>
              <w:t>9.68%</w:t>
            </w:r>
          </w:p>
        </w:tc>
      </w:tr>
      <w:tr>
        <w:tc>
          <w:tcPr>
            <w:tcW w:type="dxa" w:w="2062"/>
          </w:tcPr>
          <w:p>
            <w:r>
              <w:t>2026</w:t>
            </w:r>
          </w:p>
        </w:tc>
        <w:tc>
          <w:tcPr>
            <w:tcW w:type="dxa" w:w="2062"/>
          </w:tcPr>
          <w:p>
            <w:r>
              <w:t>1,252,106</w:t>
            </w:r>
          </w:p>
        </w:tc>
        <w:tc>
          <w:tcPr>
            <w:tcW w:type="dxa" w:w="2062"/>
          </w:tcPr>
          <w:p>
            <w:r>
              <w:t>10.41%</w:t>
            </w:r>
          </w:p>
        </w:tc>
        <w:tc>
          <w:tcPr>
            <w:tcW w:type="dxa" w:w="2062"/>
          </w:tcPr>
          <w:p>
            <w:r>
              <w:t>3,893,988</w:t>
            </w:r>
          </w:p>
        </w:tc>
        <w:tc>
          <w:tcPr>
            <w:tcW w:type="dxa" w:w="2062"/>
          </w:tcPr>
          <w:p>
            <w:r>
              <w:t>27.09%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r>
        <w:br w:type="page"/>
      </w:r>
    </w:p>
    <w:p>
      <w:pPr>
        <w:pStyle w:val="Heading1"/>
      </w:pPr>
      <w:r>
        <w:t>5　資金曲線、回撤與風險配平診斷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圖一：左為線性Y軸、右為對數Y軸。兩者皆自1,000萬元起始並扣除所有成交與轉倉成本；log-y版本只改變視覺尺度，不改變任何報酬或風險計算。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圖二：日末權益相對含初始本金的歷史高點回撤。策略MDD 3.93%，基準11.12%；策略回撤較淺，但固定一口比較同時含有不同市場曝險。</w:t>
      </w:r>
    </w:p>
    <w:p>
      <w:r>
        <w:t>波動配平診斷（事後分析）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指標</w:t>
            </w:r>
          </w:p>
        </w:tc>
        <w:tc>
          <w:tcPr>
            <w:tcW w:type="dxa" w:w="3437"/>
          </w:tcPr>
          <w:p>
            <w:r>
              <w:t>固定一口基準</w:t>
            </w:r>
          </w:p>
        </w:tc>
        <w:tc>
          <w:tcPr>
            <w:tcW w:type="dxa" w:w="3437"/>
          </w:tcPr>
          <w:p>
            <w:r>
              <w:t>波動配平診斷</w:t>
            </w:r>
          </w:p>
        </w:tc>
      </w:tr>
      <w:tr>
        <w:tc>
          <w:tcPr>
            <w:tcW w:type="dxa" w:w="3437"/>
          </w:tcPr>
          <w:p>
            <w:r>
              <w:t>TX-equivalent</w:t>
            </w:r>
          </w:p>
        </w:tc>
        <w:tc>
          <w:tcPr>
            <w:tcW w:type="dxa" w:w="3437"/>
          </w:tcPr>
          <w:p>
            <w:r>
              <w:t>1.000</w:t>
            </w:r>
          </w:p>
        </w:tc>
        <w:tc>
          <w:tcPr>
            <w:tcW w:type="dxa" w:w="3437"/>
          </w:tcPr>
          <w:p>
            <w:r>
              <w:t>0.315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  <w:tc>
          <w:tcPr>
            <w:tcW w:type="dxa" w:w="3437"/>
          </w:tcPr>
          <w:p>
            <w:r>
              <w:t>2.90%</w:t>
            </w:r>
          </w:p>
        </w:tc>
      </w:tr>
      <w:tr>
        <w:tc>
          <w:tcPr>
            <w:tcW w:type="dxa" w:w="3437"/>
          </w:tcPr>
          <w:p>
            <w:r>
              <w:t>Sharpe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  <w:tc>
          <w:tcPr>
            <w:tcW w:type="dxa" w:w="3437"/>
          </w:tcPr>
          <w:p>
            <w:r>
              <w:t>1.066</w:t>
            </w:r>
          </w:p>
        </w:tc>
      </w:tr>
      <w:tr>
        <w:tc>
          <w:tcPr>
            <w:tcW w:type="dxa" w:w="3437"/>
          </w:tcPr>
          <w:p>
            <w:r>
              <w:t>MDD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  <w:tc>
          <w:tcPr>
            <w:tcW w:type="dxa" w:w="3437"/>
          </w:tcPr>
          <w:p>
            <w:r>
              <w:t>4.25%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  <w:tc>
          <w:tcPr>
            <w:tcW w:type="dxa" w:w="3437"/>
          </w:tcPr>
          <w:p>
            <w:r>
              <w:t>0.682</w:t>
            </w:r>
          </w:p>
        </w:tc>
      </w:tr>
    </w:tbl>
    <w:p>
      <w:r>
        <w:t>配平係數以完整樣本事後估計，使基準年化波動由7.20%調整至策略的2.82%；所得曝險約為0.315口TX-equivalent。基準毛損益、手續費、稅與滑價成本均按相同比例縮放，因此此結果僅用於同風險尺度比較，不代表可直接執行的整口TX交易策略。</w:t>
      </w:r>
    </w:p>
    <w:p>
      <w:r>
        <w:t>固定一口仍是主結果，因為它可直接對應實際合約；波動配平只用來避免把策略較低MDD完全誤解為訊號本身的優勢。圖表也沒有盤中及夜盤評價，不能代表最壞瞬時損失或精確保證金風險。</w:t>
      </w:r>
    </w:p>
    <w:p>
      <w:r>
        <w:br w:type="page"/>
      </w:r>
    </w:p>
    <w:p>
      <w:pPr>
        <w:pStyle w:val="Heading1"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每邊滑價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策略Sharpe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  <w:tc>
          <w:tcPr>
            <w:tcW w:type="dxa" w:w="2062"/>
          </w:tcPr>
          <w:p>
            <w:r>
              <w:t>基準Sharpe</w:t>
            </w:r>
          </w:p>
        </w:tc>
      </w:tr>
      <w:tr>
        <w:tc>
          <w:tcPr>
            <w:tcW w:type="dxa" w:w="2062"/>
          </w:tcPr>
          <w:p>
            <w:r>
              <w:t>1點</w:t>
            </w:r>
          </w:p>
        </w:tc>
        <w:tc>
          <w:tcPr>
            <w:tcW w:type="dxa" w:w="2062"/>
          </w:tcPr>
          <w:p>
            <w:r>
              <w:t>33.51%</w:t>
            </w:r>
          </w:p>
        </w:tc>
        <w:tc>
          <w:tcPr>
            <w:tcW w:type="dxa" w:w="2062"/>
          </w:tcPr>
          <w:p>
            <w:r>
              <w:t>1.333</w:t>
            </w:r>
          </w:p>
        </w:tc>
        <w:tc>
          <w:tcPr>
            <w:tcW w:type="dxa" w:w="2062"/>
          </w:tcPr>
          <w:p>
            <w:r>
              <w:t>83.08%</w:t>
            </w:r>
          </w:p>
        </w:tc>
        <w:tc>
          <w:tcPr>
            <w:tcW w:type="dxa" w:w="2062"/>
          </w:tcPr>
          <w:p>
            <w:r>
              <w:t>1.114</w:t>
            </w:r>
          </w:p>
        </w:tc>
      </w:tr>
      <w:tr>
        <w:tc>
          <w:tcPr>
            <w:tcW w:type="dxa" w:w="2062"/>
          </w:tcPr>
          <w:p>
            <w:r>
              <w:t>2點</w:t>
            </w:r>
          </w:p>
        </w:tc>
        <w:tc>
          <w:tcPr>
            <w:tcW w:type="dxa" w:w="2062"/>
          </w:tcPr>
          <w:p>
            <w:r>
              <w:t>32.78%</w:t>
            </w:r>
          </w:p>
        </w:tc>
        <w:tc>
          <w:tcPr>
            <w:tcW w:type="dxa" w:w="2062"/>
          </w:tcPr>
          <w:p>
            <w:r>
              <w:t>1.302</w:t>
            </w:r>
          </w:p>
        </w:tc>
        <w:tc>
          <w:tcPr>
            <w:tcW w:type="dxa" w:w="2062"/>
          </w:tcPr>
          <w:p>
            <w:r>
              <w:t>82.68%</w:t>
            </w:r>
          </w:p>
        </w:tc>
        <w:tc>
          <w:tcPr>
            <w:tcW w:type="dxa" w:w="2062"/>
          </w:tcPr>
          <w:p>
            <w:r>
              <w:t>1.108</w:t>
            </w:r>
          </w:p>
        </w:tc>
      </w:tr>
      <w:tr>
        <w:tc>
          <w:tcPr>
            <w:tcW w:type="dxa" w:w="2062"/>
          </w:tcPr>
          <w:p>
            <w:r>
              <w:t>4點</w:t>
            </w:r>
          </w:p>
        </w:tc>
        <w:tc>
          <w:tcPr>
            <w:tcW w:type="dxa" w:w="2062"/>
          </w:tcPr>
          <w:p>
            <w:r>
              <w:t>31.30%</w:t>
            </w:r>
          </w:p>
        </w:tc>
        <w:tc>
          <w:tcPr>
            <w:tcW w:type="dxa" w:w="2062"/>
          </w:tcPr>
          <w:p>
            <w:r>
              <w:t>1.241</w:t>
            </w:r>
          </w:p>
        </w:tc>
        <w:tc>
          <w:tcPr>
            <w:tcW w:type="dxa" w:w="2062"/>
          </w:tcPr>
          <w:p>
            <w:r>
              <w:t>81.90%</w:t>
            </w:r>
          </w:p>
        </w:tc>
        <w:tc>
          <w:tcPr>
            <w:tcW w:type="dxa" w:w="2062"/>
          </w:tcPr>
          <w:p>
            <w:r>
              <w:t>1.096</w:t>
            </w:r>
          </w:p>
        </w:tc>
      </w:tr>
    </w:tbl>
    <w:p>
      <w:r>
        <w:t>基準2點設定下，策略毛損益3,469,600.00元，成本192,063.42元，占毛獲利5.54%。其中手續費18,400元、期交稅26,463.42元、滑價147,200元。4點滑價時Sharpe仍為1.241，但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</w:tcPr>
          <w:p>
            <w:r>
              <w:t>規則</w:t>
            </w:r>
          </w:p>
        </w:tc>
        <w:tc>
          <w:tcPr>
            <w:tcW w:type="dxa" w:w="2578"/>
          </w:tcPr>
          <w:p>
            <w:r>
              <w:t>報酬</w:t>
            </w:r>
          </w:p>
        </w:tc>
        <w:tc>
          <w:tcPr>
            <w:tcW w:type="dxa" w:w="2578"/>
          </w:tcPr>
          <w:p>
            <w:r>
              <w:t>Sharpe</w:t>
            </w:r>
          </w:p>
        </w:tc>
        <w:tc>
          <w:tcPr>
            <w:tcW w:type="dxa" w:w="2578"/>
          </w:tcPr>
          <w:p>
            <w:r>
              <w:t>MDD</w:t>
            </w:r>
          </w:p>
        </w:tc>
      </w:tr>
      <w:tr>
        <w:tc>
          <w:tcPr>
            <w:tcW w:type="dxa" w:w="2578"/>
          </w:tcPr>
          <w:p>
            <w:r>
              <w:t>交易強度＋價格趨勢</w:t>
            </w:r>
          </w:p>
        </w:tc>
        <w:tc>
          <w:tcPr>
            <w:tcW w:type="dxa" w:w="2578"/>
          </w:tcPr>
          <w:p>
            <w:r>
              <w:t>32.78%</w:t>
            </w:r>
          </w:p>
        </w:tc>
        <w:tc>
          <w:tcPr>
            <w:tcW w:type="dxa" w:w="2578"/>
          </w:tcPr>
          <w:p>
            <w:r>
              <w:t>1.302</w:t>
            </w:r>
          </w:p>
        </w:tc>
        <w:tc>
          <w:tcPr>
            <w:tcW w:type="dxa" w:w="2578"/>
          </w:tcPr>
          <w:p>
            <w:r>
              <w:t>3.93%</w:t>
            </w:r>
          </w:p>
        </w:tc>
      </w:tr>
      <w:tr>
        <w:tc>
          <w:tcPr>
            <w:tcW w:type="dxa" w:w="2578"/>
          </w:tcPr>
          <w:p>
            <w:r>
              <w:t>交易強度20日單獨</w:t>
            </w:r>
          </w:p>
        </w:tc>
        <w:tc>
          <w:tcPr>
            <w:tcW w:type="dxa" w:w="2578"/>
          </w:tcPr>
          <w:p>
            <w:r>
              <w:t>42.24%</w:t>
            </w:r>
          </w:p>
        </w:tc>
        <w:tc>
          <w:tcPr>
            <w:tcW w:type="dxa" w:w="2578"/>
          </w:tcPr>
          <w:p>
            <w:r>
              <w:t>0.868</w:t>
            </w:r>
          </w:p>
        </w:tc>
        <w:tc>
          <w:tcPr>
            <w:tcW w:type="dxa" w:w="2578"/>
          </w:tcPr>
          <w:p>
            <w:r>
              <w:t>9.48%</w:t>
            </w:r>
          </w:p>
        </w:tc>
      </w:tr>
      <w:tr>
        <w:tc>
          <w:tcPr>
            <w:tcW w:type="dxa" w:w="2578"/>
          </w:tcPr>
          <w:p>
            <w:r>
              <w:t>價格20日趨勢單獨</w:t>
            </w:r>
          </w:p>
        </w:tc>
        <w:tc>
          <w:tcPr>
            <w:tcW w:type="dxa" w:w="2578"/>
          </w:tcPr>
          <w:p>
            <w:r>
              <w:t>48.26%</w:t>
            </w:r>
          </w:p>
        </w:tc>
        <w:tc>
          <w:tcPr>
            <w:tcW w:type="dxa" w:w="2578"/>
          </w:tcPr>
          <w:p>
            <w:r>
              <w:t>0.956</w:t>
            </w:r>
          </w:p>
        </w:tc>
        <w:tc>
          <w:tcPr>
            <w:tcW w:type="dxa" w:w="2578"/>
          </w:tcPr>
          <w:p>
            <w:r>
              <w:t>9.55%</w:t>
            </w:r>
          </w:p>
        </w:tc>
      </w:tr>
    </w:tbl>
    <w:p>
      <w:r>
        <w:t>合併條件降低了收益，也降低了日末回撤及波動。相較單獨交易強度或單獨價格均線，這個歷史樣本中的主要改善是風險效率，而不是提高總獲利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2.197；持有日曆日平均6.90日、中位數3日，最長84日。前五筆獲利合計占總淨利55.46%；2025與2026合計約占61.73%，仍需注意少數交易及近期年份的影響。</w:t>
      </w:r>
    </w:p>
    <w:p>
      <w:r>
        <w:t>較早2018～2022淨利108.30萬元、描述性Sharpe 1.140；2023～2026淨利219.46萬元、Sharpe 1.481。兩段均為正，但2018、2022、2024年度為負。2024基準上漲而策略虧損，顯示趨勢過濾仍可能漏接行情或反覆進出。</w:t>
      </w:r>
    </w:p>
    <w:p>
      <w:r>
        <w:br w:type="page"/>
      </w:r>
    </w:p>
    <w:p>
      <w:pPr>
        <w:pStyle w:val="Heading1"/>
      </w:pPr>
      <w:r>
        <w:t>7　風險來源與策略限制</w:t>
      </w:r>
    </w:p>
    <w:p>
      <w:r>
        <w:t>一、法人交易指標的解釋限制</w:t>
      </w:r>
    </w:p>
    <w:p>
      <w:r>
        <w:t>本研究的交易強度衡量三大法人的當日淨成交流量，而非收盤後仍持有的未平倉部位。以多空交易總口數作為分母，可降低不同交易活躍程度對原始淨口數的影響；然而三類法人交易同時可能包含方向投資、股票與選擇權避險、套利及造市活動，因此公開彙總資料無法識別各機構的實際交易動機。[2]</w:t>
      </w:r>
    </w:p>
    <w:p>
      <w:r>
        <w:t>20日平均用於降低單日成交流量雜訊，再以價格高於20日均線作為趨勢確認。回測中較高的Sharpe僅代表此規則在目前樣本中的歷史風險調整績效；由於策略採多單／空手架構，績效同時受到長期多頭趨勢與隔夜報酬影響，不能將全部成果歸因於法人資訊優勢。</w:t>
      </w:r>
    </w:p>
    <w:p>
      <w:r>
        <w:t>二、盤整與快速反轉環境</w:t>
      </w:r>
    </w:p>
    <w:p>
      <w:r>
        <w:t>在盤整、急漲急跌或V形反轉環境中，20日平均具有滯後性，價格亦可能在MA20附近反覆穿越。當條件短暫失效後退出、再度成立後重新進場，可能造成追價、較低價格退出或錯失快速反彈。2024年基準為正報酬而策略為負，即顯示雙條件一致並不代表能捕捉所有上升行情。</w:t>
      </w:r>
    </w:p>
    <w:p>
      <w:r>
        <w:t>本回測未加入事後最佳化的固定點數停損。現有資料僅含日盤OHLC，缺乏完整夜盤價格路徑、委託排隊及極端行情成交資訊，因此若加入盤中觸價停損，將引入無法可靠驗證的成交假設。基準版本僅依訊號消退、轉倉與期末清算執行出場。</w:t>
      </w:r>
    </w:p>
    <w:p>
      <w:r>
        <w:t>三、隔夜跳空與流動性風險</w:t>
      </w:r>
    </w:p>
    <w:p>
      <w:r>
        <w:t>本策略實際持有隔夜部位，因此海外市場、匯率與突發事件可能在臺指期日盤重新開市前改變價格。即使隔日日盤開盤已產生退出需求，仍須承受前一日收盤至下一交易日開盤的跳空風險；若開盤流動性不足，實際成交損失亦可能高於固定2點滑價假設。</w:t>
      </w:r>
    </w:p>
    <w:p>
      <w:r>
        <w:t>因此3.93%的日末MDD不應解讀為單筆交易或盤中可能遭受的最大損失。完整名目價值資金限制降低了槓桿造成的風險，但無法消除跳空與流動性風險；若進一步評估實際交易可行性，仍需納入夜盤價格、盤中極端波動與開盤成交品質。</w:t>
      </w:r>
    </w:p>
    <w:p>
      <w:r>
        <w:br w:type="page"/>
      </w:r>
    </w:p>
    <w:p>
      <w:pPr>
        <w:pStyle w:val="Heading1"/>
      </w:pPr>
      <w:r>
        <w:t>8　結論與後續驗證</w:t>
      </w:r>
    </w:p>
    <w:p>
      <w:r>
        <w:t>一、績效結論</w:t>
      </w:r>
    </w:p>
    <w:p>
      <w:r>
        <w:t>策略Sharpe為1.302、Calmar為0.906，高於固定一口Buy-and-Hold基準的1.108與0.694，MDD亦由11.12%降至3.93%；但策略累積報酬32.78%，低於基準82.68%。因此主要優勢體現在歷史風險效率與回撤控制，而非絕對收益。較低市場曝險同時降低下跌風險，也犧牲部分多頭行情的收益。</w:t>
      </w:r>
    </w:p>
    <w:p>
      <w:r>
        <w:t>策略最長回撤期間為482個交易日，高於基準的366日，顯示較低回撤幅度不等同於較短的資金恢復時間。勝率約51.70%、Profit Factor約2.197，績效並非依賴高勝率，而較依賴部分趨勢延續期間的較大獲利；前五筆交易與近兩年績效占比較高，亦顯示成果存在集中性。</w:t>
      </w:r>
    </w:p>
    <w:p>
      <w:r>
        <w:t>二、樣本選擇偏誤與驗證要求</w:t>
      </w:r>
    </w:p>
    <w:p>
      <w:r>
        <w:t>本版本由18個候選規則比較後選出，並非在完全未觀察資料的情況下事先固定。因此，即使滑價敏感度與時間分組結果仍為正，也不能視為獨立樣本外證據。目前的Sharpe可能包含策略挑選造成的選擇偏誤，應在解讀績效時明確納入。</w:t>
      </w:r>
    </w:p>
    <w:p>
      <w:r>
        <w:t>後續驗證應先凍結20日交易強度、20日價格均線、零門檻及成本假設，再以未參與策略設計的新資料進行樣本外檢驗。若進一步測試結算日排除、均線參數或停損規則，應事前限定假說與參數範圍，並完整報告所有結果，以降低多重嘗試造成的偏誤。</w:t>
      </w:r>
    </w:p>
    <w:p>
      <w:r>
        <w:t>綜合而言，法人交易強度與價格趨勢的雙條件策略具有規則簡單、交易邏輯可追溯及歷史風險效率較佳等特性，可作為後續研究候選。然而，現有證據不足以宣稱其具有穩定的樣本外超額報酬。若要提高結論可信度，應優先完成獨立樣本外驗證、夜盤與盤中風險評估，以及資料發布時點與歷史修訂的一致性檢查。</w:t>
      </w:r>
    </w:p>
    <w:p>
      <w:r>
        <w:t>三、資料來源與計算口徑</w:t>
      </w:r>
    </w:p>
    <w:p>
      <w:r>
        <w:t>[1] 臺灣期貨交易所，臺股期貨契約規格：https://www.taifex.com.tw/cht/2/tX</w:t>
        <w:br/>
        <w:t>[2] 臺灣期貨交易所，三大法人交易資訊：https://www.taifex.com.tw/cht/3/futContractsDateView</w:t>
        <w:br/>
        <w:t>[3] 臺灣期貨交易所，費率表：https://www.taifex.com.tw/cht/4/feeSchedules</w:t>
        <w:br/>
        <w:t>歷史行情：https://www.taifex.com.tw/cht/3/dlFutDailyMarketView</w:t>
        <w:br/>
        <w:t>FinMind：https://finmind.github.io/tutor/TaiwanMarket/Derivative/</w:t>
      </w:r>
    </w:p>
    <w:p>
      <w:r>
        <w:t>Sharpe＝日報酬平均／日報酬樣本標準差×√252；Calmar＝CAGR／最大回撤比例。所有績效指標均依相同初始資金、交易期間與成本假設計算；波動配平結果僅作風險尺度診斷，不列為主要可執行基準。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TC" w:hAnsi="Noto Sans TC" w:eastAsia="Noto Sans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