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臺灣期交所盤後籌碼量化分析與交易策略回測：三大法人交易強度20日＋價格趨勢（TX近月一口多單／空手）</w:t>
      </w:r>
    </w:p>
    <w:p>
      <w:pPr>
        <w:pStyle w:val="Heading1"/>
      </w:pPr>
      <w:r>
        <w:t>壹、資料介紹：來源、欄位定義與經濟意涵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以加權股價指數作大盤價格參考，另與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資料</w:t>
            </w:r>
          </w:p>
        </w:tc>
        <w:tc>
          <w:tcPr>
            <w:tcW w:type="dxa" w:w="5159"/>
          </w:tcPr>
          <w:p>
            <w:r>
              <w:t>來源、期間與清理</w:t>
            </w:r>
          </w:p>
        </w:tc>
      </w:tr>
      <w:tr>
        <w:tc>
          <w:tcPr>
            <w:tcW w:type="dxa" w:w="5159"/>
          </w:tcPr>
          <w:p>
            <w:r>
              <w:t>TX日盤行情</w:t>
            </w:r>
          </w:p>
        </w:tc>
        <w:tc>
          <w:tcPr>
            <w:tcW w:type="dxa" w:w="5159"/>
          </w:tcPr>
          <w:p>
            <w:r>
              <w:t>TAIFEX「期貨每日交易行情」年度ZIP及月檔；2016/10/05～2026/10/05，2,438日、14,202筆實際月契約、126個契約。僅保留一般交易時段、六碼月契約。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9"/>
          </w:tcPr>
          <w:p>
            <w:r>
              <w:t>三大法人交易</w:t>
            </w:r>
          </w:p>
        </w:tc>
        <w:tc>
          <w:tcPr>
            <w:tcW w:type="dxa" w:w="5159"/>
          </w:tcPr>
          <w:p>
            <w:r>
              <w:t>TAIFEX「三大法人－區分各期貨契約」格式原始資料，並以FinMind TX歷史資料逐筆比對；2018/06/05～2026/10/05，2,030日、6,090筆三類法人資料。</w:t>
            </w:r>
          </w:p>
        </w:tc>
      </w:tr>
      <w:tr>
        <w:tc>
          <w:tcPr>
            <w:tcW w:type="dxa" w:w="5159"/>
          </w:tcPr>
          <w:p>
            <w:r>
              <w:t>正式回測期間</w:t>
            </w:r>
          </w:p>
        </w:tc>
        <w:tc>
          <w:tcPr>
            <w:tcW w:type="dxa" w:w="5159"/>
          </w:tcPr>
          <w:p>
            <w:r>
              <w:t>2018-08-31～2026-10-05，共1,968日。起始日沿用先前候選比較的共同期間（最長需60日暖身）；本策略只需20日，Q20自2018/07/03起即可計算。</w:t>
            </w:r>
          </w:p>
        </w:tc>
      </w:tr>
      <w:tr>
        <w:tc>
          <w:tcPr>
            <w:tcW w:type="dxa" w:w="5159"/>
          </w:tcPr>
          <w:p>
            <w:r>
              <w:t>缺漏處理</w:t>
            </w:r>
          </w:p>
        </w:tc>
        <w:tc>
          <w:tcPr>
            <w:tcW w:type="dxa" w:w="5159"/>
          </w:tcPr>
          <w:p>
            <w:r>
              <w:t>行情與法人資料起點不同；法人資料前的408個行情交易日未補造籌碼。較早官方交易金額淨額空白，但本策略只用完整的交易口數。</w:t>
            </w:r>
          </w:p>
        </w:tc>
      </w:tr>
    </w:tbl>
    <w:p>
      <w:r>
        <w:t>較新期間以TAIFEX格式原始資料優先，以降低不同資料來源歷史值差異造成的影響；三類法人日期均與行情交易日曆一致。資料未混入MTX、週契約、夜盤或價差交易。原始月契約共有179筆OHLC缺值紀錄，但策略及基準實際使用的進出、轉倉與評價價格均完整。</w:t>
      </w:r>
    </w:p>
    <w:p>
      <w:r>
        <w:t>期交所三大法人期貨交易資訊：原始欄位字典與公布時點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原始欄位</w:t>
            </w:r>
          </w:p>
        </w:tc>
        <w:tc>
          <w:tcPr>
            <w:tcW w:type="dxa" w:w="5159"/>
          </w:tcPr>
          <w:p>
            <w:r>
              <w:t>定義、單位與市場意涵</w:t>
            </w:r>
          </w:p>
        </w:tc>
      </w:tr>
      <w:tr>
        <w:tc>
          <w:tcPr>
            <w:tcW w:type="dxa" w:w="5159"/>
          </w:tcPr>
          <w:p>
            <w:r>
              <w:t>日期／商品名稱／身份別</w:t>
            </w:r>
          </w:p>
        </w:tc>
        <w:tc>
          <w:tcPr>
            <w:tcW w:type="dxa" w:w="5159"/>
          </w:tcPr>
          <w:p>
            <w:r>
              <w:t>交易日；臺股期貨；外資及陸資、投信、自營商。三類均為眾多機構的合計，淨額只是互抵結果，不代表單一機構或整類法人一致看多或看空。[2]</w:t>
            </w:r>
          </w:p>
        </w:tc>
      </w:tr>
      <w:tr>
        <w:tc>
          <w:tcPr>
            <w:tcW w:type="dxa" w:w="5159"/>
          </w:tcPr>
          <w:p>
            <w:r>
              <w:t>多方交易口數／空方交易口數</w:t>
            </w:r>
          </w:p>
        </w:tc>
        <w:tc>
          <w:tcPr>
            <w:tcW w:type="dxa" w:w="5159"/>
          </w:tcPr>
          <w:p>
            <w:r>
              <w:t>當日買進成交口數／賣出成交口數（口），屬成交「流量」。本研究核心欄位，用以計算淨交易口數B與總交易口數V。</w:t>
            </w:r>
          </w:p>
        </w:tc>
      </w:tr>
      <w:tr>
        <w:tc>
          <w:tcPr>
            <w:tcW w:type="dxa" w:w="5159"/>
          </w:tcPr>
          <w:p>
            <w:r>
              <w:t>多空交易口數淨額</w:t>
            </w:r>
          </w:p>
        </w:tc>
        <w:tc>
          <w:tcPr>
            <w:tcW w:type="dxa" w:w="5159"/>
          </w:tcPr>
          <w:p>
            <w:r>
              <w:t>多方減空方交易口數（口）；正值為當日淨買進。已核對全數等於兩欄相減。</w:t>
            </w:r>
          </w:p>
        </w:tc>
      </w:tr>
      <w:tr>
        <w:tc>
          <w:tcPr>
            <w:tcW w:type="dxa" w:w="5159"/>
          </w:tcPr>
          <w:p>
            <w:r>
              <w:t>多方／空方／淨額交易契約金額（千元）</w:t>
            </w:r>
          </w:p>
        </w:tc>
        <w:tc>
          <w:tcPr>
            <w:tcW w:type="dxa" w:w="5159"/>
          </w:tcPr>
          <w:p>
            <w:r>
              <w:t>成交口數×成交價×乘數；早期官方淨額欄位空白，本研究未使用金額欄位。</w:t>
            </w:r>
          </w:p>
        </w:tc>
      </w:tr>
      <w:tr>
        <w:tc>
          <w:tcPr>
            <w:tcW w:type="dxa" w:w="5159"/>
          </w:tcPr>
          <w:p>
            <w:r>
              <w:t>多方／空方未平倉口數、多空未平倉口數淨額</w:t>
            </w:r>
          </w:p>
        </w:tc>
        <w:tc>
          <w:tcPr>
            <w:tcW w:type="dxa" w:w="5159"/>
          </w:tcPr>
          <w:p>
            <w:r>
              <w:t>收盤後仍未沖銷的留倉口數（口），屬部位「存量」，常被解讀為法人方向性曝險。本研究保留於原始資料供對照，訊號只用當日成交流量，以避免存量受避險與套利部位長期累積影響。</w:t>
            </w:r>
          </w:p>
        </w:tc>
      </w:tr>
      <w:tr>
        <w:tc>
          <w:tcPr>
            <w:tcW w:type="dxa" w:w="5159"/>
          </w:tcPr>
          <w:p>
            <w:r>
              <w:t>公布時點／最早可用時點</w:t>
            </w:r>
          </w:p>
        </w:tc>
        <w:tc>
          <w:tcPr>
            <w:tcW w:type="dxa" w:w="5159"/>
          </w:tcPr>
          <w:p>
            <w:r>
              <w:t>期交所於交易日收盤後（約下午3時）公布T日資料；本研究保守採T+1日日盤08:45開盤為最早執行時點，不假設可於T日夜盤成交。</w:t>
            </w:r>
          </w:p>
        </w:tc>
      </w:tr>
    </w:tbl>
    <w:p>
      <w:r>
        <w:t>本策略由18個候選規則中篩選後固定參數重新回測，因此結果屬探索性全樣本分析，尚未以完全未參與策略選擇的資料進行獨立樣本外驗證。此限制在後續結論中另行討論。</w:t>
      </w:r>
    </w:p>
    <w:p>
      <w:r>
        <w:t>以首日一口TX名目價值2,195,000.00元作共同起始資金，策略成本後累積報酬149.32%、MDD 12.72%；同期加權指數價格報酬350.40%、MDD 31.63%。固定一口TX買進持有為可交易期貨對照。各曲線逐日累加損益，回撤從各自的歷史高點計算。</w:t>
      </w:r>
    </w:p>
    <w:p>
      <w:pPr>
        <w:pStyle w:val="Heading1"/>
        <w:pageBreakBefore/>
      </w:pPr>
      <w:r>
        <w:t>壹（續）指標定義、經濟意涵與資料時間序列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欄位／指標</w:t>
            </w:r>
          </w:p>
        </w:tc>
        <w:tc>
          <w:tcPr>
            <w:tcW w:type="dxa" w:w="5159"/>
          </w:tcPr>
          <w:p>
            <w:r>
              <w:t>定義與用途</w:t>
            </w:r>
          </w:p>
        </w:tc>
      </w:tr>
      <w:tr>
        <w:tc>
          <w:tcPr>
            <w:tcW w:type="dxa" w:w="5159"/>
          </w:tcPr>
          <w:p>
            <w:r>
              <w:t>日期／實際契約月份</w:t>
            </w:r>
          </w:p>
        </w:tc>
        <w:tc>
          <w:tcPr>
            <w:tcW w:type="dxa" w:w="5159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9"/>
          </w:tcPr>
          <w:p>
            <w:r>
              <w:t>多方／空方交易口數</w:t>
            </w:r>
          </w:p>
        </w:tc>
        <w:tc>
          <w:tcPr>
            <w:tcW w:type="dxa" w:w="5159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9"/>
          </w:tcPr>
          <w:p>
            <w:r>
              <w:t>法人淨交易口數 B</w:t>
            </w:r>
          </w:p>
        </w:tc>
        <w:tc>
          <w:tcPr>
            <w:tcW w:type="dxa" w:w="5159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9"/>
          </w:tcPr>
          <w:p>
            <w:r>
              <w:t>法人總交易口數 V</w:t>
            </w:r>
          </w:p>
        </w:tc>
        <w:tc>
          <w:tcPr>
            <w:tcW w:type="dxa" w:w="5159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9"/>
          </w:tcPr>
          <w:p>
            <w:r>
              <w:t>交易強度 Q=B/V</w:t>
            </w:r>
          </w:p>
        </w:tc>
        <w:tc>
          <w:tcPr>
            <w:tcW w:type="dxa" w:w="5159"/>
          </w:tcPr>
          <w:p>
            <w:r>
              <w:t>以口數標準化淨買進活動；B可為負，V為正，Q介於−1與1之間。各類法人的成交流量可能含方向、避險與套利。</w:t>
            </w:r>
          </w:p>
        </w:tc>
      </w:tr>
      <w:tr>
        <w:tc>
          <w:tcPr>
            <w:tcW w:type="dxa" w:w="5159"/>
          </w:tcPr>
          <w:p>
            <w:r>
              <w:t>Q20／MA20</w:t>
            </w:r>
          </w:p>
        </w:tc>
        <w:tc>
          <w:tcPr>
            <w:tcW w:type="dxa" w:w="5159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_time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一：上圖為TX近月收盤（未調整）與MA20，下圖為每日交易強度Q（長條）與Q20（實線）；陰影為策略日末持有多單的交易日（共658日，占33.43%）。Q的單日雜訊大（中位絕對值0.95%），Q20全期介於-0.99%與+0.88%之間、49.34%的交易日為正，因此零門檻實際上是「近期法人成交偏向淨買方」的方向判斷，而非強度分級。</w:t>
      </w:r>
    </w:p>
    <w:p>
      <w:pPr>
        <w:pStyle w:val="Heading1"/>
        <w:pageBreakBefore/>
      </w:pPr>
      <w:r>
        <w:t>貳、策略假設與訊號建構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第t日盤後：若Q20_t&gt;0且收盤C_t&gt;MA20_t，則目標多一口；其他情況目標空手。Q20=0或C=MA20均不持有。訊號只在t+1交易日08:45開盤執行，不使用t+1收盤決定t+1開盤交易；T日盤後資料不假設可於T日夜盤成交。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交易日配對按官方行情日曆，不以自然日加一天。條件產生、成交、持倉及轉倉均可在逐日底稿追溯；可能失效情境：盤整反覆穿越均線、急跌後V形反彈，以及法人成交流量由避險或套利主導的期間（見伍）。</w:t>
      </w:r>
    </w:p>
    <w:p>
      <w:pPr>
        <w:pStyle w:val="Heading1"/>
      </w:pPr>
      <w:r>
        <w:t>參、回測設定與摩擦成本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設定</w:t>
            </w:r>
          </w:p>
        </w:tc>
        <w:tc>
          <w:tcPr>
            <w:tcW w:type="dxa" w:w="5159"/>
          </w:tcPr>
          <w:p>
            <w:r>
              <w:t>策略與基準共同口徑</w:t>
            </w:r>
          </w:p>
        </w:tc>
      </w:tr>
      <w:tr>
        <w:tc>
          <w:tcPr>
            <w:tcW w:type="dxa" w:w="5159"/>
          </w:tcPr>
          <w:p>
            <w:r>
              <w:t>起始資金／口數／乘數</w:t>
            </w:r>
          </w:p>
        </w:tc>
        <w:tc>
          <w:tcPr>
            <w:tcW w:type="dxa" w:w="5159"/>
          </w:tcPr>
          <w:p>
            <w:r>
              <w:t>共同起始資金2,195,000.00元，等於首日TX開盤價乘以每點200元；持倉時固定一口，不加碼。</w:t>
            </w:r>
          </w:p>
        </w:tc>
      </w:tr>
      <w:tr>
        <w:tc>
          <w:tcPr>
            <w:tcW w:type="dxa" w:w="5159"/>
          </w:tcPr>
          <w:p>
            <w:r>
              <w:t>手續費</w:t>
            </w:r>
          </w:p>
        </w:tc>
        <w:tc>
          <w:tcPr>
            <w:tcW w:type="dxa" w:w="5159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9"/>
          </w:tcPr>
          <w:p>
            <w:r>
              <w:t>滑價</w:t>
            </w:r>
          </w:p>
        </w:tc>
        <w:tc>
          <w:tcPr>
            <w:tcW w:type="dxa" w:w="5159"/>
          </w:tcPr>
          <w:p>
            <w:r>
              <w:t>每次成交2點：買進價+2、賣出價−2。初始進出、轉倉與期末平倉皆計。</w:t>
            </w:r>
          </w:p>
        </w:tc>
      </w:tr>
      <w:tr>
        <w:tc>
          <w:tcPr>
            <w:tcW w:type="dxa" w:w="5159"/>
          </w:tcPr>
          <w:p>
            <w:r>
              <w:t>期交稅</w:t>
            </w:r>
          </w:p>
        </w:tc>
        <w:tc>
          <w:tcPr>
            <w:tcW w:type="dxa" w:w="5159"/>
          </w:tcPr>
          <w:p>
            <w:r>
              <w:t>每邊按含滑價成交價×200×0.00002。連續金額近似，未逐筆取整。[3]</w:t>
            </w:r>
          </w:p>
        </w:tc>
      </w:tr>
      <w:tr>
        <w:tc>
          <w:tcPr>
            <w:tcW w:type="dxa" w:w="5159"/>
          </w:tcPr>
          <w:p>
            <w:r>
              <w:t>資金與槓桿</w:t>
            </w:r>
          </w:p>
        </w:tc>
        <w:tc>
          <w:tcPr>
            <w:tcW w:type="dxa" w:w="5159"/>
          </w:tcPr>
          <w:p>
            <w:r>
              <w:t>起始資金等於一口名目價值，名目槓桿約1倍；若改以保證金為分母，報酬與回撤比例會同比例放大。起始資金不代表歷史保證金要求，未重建逐日保證金與追繳；全期策略與基準權益均維持正值。</w:t>
            </w:r>
          </w:p>
        </w:tc>
      </w:tr>
      <w:tr>
        <w:tc>
          <w:tcPr>
            <w:tcW w:type="dxa" w:w="5159"/>
          </w:tcPr>
          <w:p>
            <w:r>
              <w:t>日末評價與報酬</w:t>
            </w:r>
          </w:p>
        </w:tc>
        <w:tc>
          <w:tcPr>
            <w:tcW w:type="dxa" w:w="5159"/>
          </w:tcPr>
          <w:p>
            <w:r>
              <w:t>以共同起始資金逐日累加扣除全部成本後的淨損益，得到日末權益曲線；回撤取權益相對歷史高點的最大跌幅。日報酬為當日淨損益／前日權益，含空手日。</w:t>
            </w:r>
          </w:p>
        </w:tc>
      </w:tr>
      <w:tr>
        <w:tc>
          <w:tcPr>
            <w:tcW w:type="dxa" w:w="5159"/>
          </w:tcPr>
          <w:p>
            <w:r>
              <w:t>年化與利息</w:t>
            </w:r>
          </w:p>
        </w:tc>
        <w:tc>
          <w:tcPr>
            <w:tcW w:type="dxa" w:w="5159"/>
          </w:tcPr>
          <w:p>
            <w:r>
              <w:t>現金利息及rf=0；Sharpe採252日；CAGR依實際起訖含首尾日／365.25。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pPr>
        <w:pStyle w:val="Heading1"/>
        <w:pageBreakBefore/>
      </w:pPr>
      <w:r>
        <w:t>肆、績效分析：量化指標與年度比較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r>
              <w:t>成本後指標</w:t>
            </w:r>
          </w:p>
        </w:tc>
        <w:tc>
          <w:tcPr>
            <w:tcW w:type="dxa" w:w="3439"/>
          </w:tcPr>
          <w:p>
            <w:r>
              <w:t>法人交易強度＋趨勢</w:t>
            </w:r>
          </w:p>
        </w:tc>
        <w:tc>
          <w:tcPr>
            <w:tcW w:type="dxa" w:w="3439"/>
          </w:tcPr>
          <w:p>
            <w:r>
              <w:t>Buy-and-Hold基準</w:t>
            </w:r>
          </w:p>
        </w:tc>
      </w:tr>
      <w:tr>
        <w:tc>
          <w:tcPr>
            <w:tcW w:type="dxa" w:w="3439"/>
          </w:tcPr>
          <w:p>
            <w:r>
              <w:t>累積總報酬</w:t>
            </w:r>
          </w:p>
        </w:tc>
        <w:tc>
          <w:tcPr>
            <w:tcW w:type="dxa" w:w="3439"/>
          </w:tcPr>
          <w:p>
            <w:r>
              <w:t>149.32%</w:t>
            </w:r>
          </w:p>
        </w:tc>
        <w:tc>
          <w:tcPr>
            <w:tcW w:type="dxa" w:w="3439"/>
          </w:tcPr>
          <w:p>
            <w:r>
              <w:t>376.69%</w:t>
            </w:r>
          </w:p>
        </w:tc>
      </w:tr>
      <w:tr>
        <w:tc>
          <w:tcPr>
            <w:tcW w:type="dxa" w:w="3439"/>
          </w:tcPr>
          <w:p>
            <w:r>
              <w:t>CAGR</w:t>
            </w:r>
          </w:p>
        </w:tc>
        <w:tc>
          <w:tcPr>
            <w:tcW w:type="dxa" w:w="3439"/>
          </w:tcPr>
          <w:p>
            <w:r>
              <w:t>11.94%</w:t>
            </w:r>
          </w:p>
        </w:tc>
        <w:tc>
          <w:tcPr>
            <w:tcW w:type="dxa" w:w="3439"/>
          </w:tcPr>
          <w:p>
            <w:r>
              <w:t>21.27%</w:t>
            </w:r>
          </w:p>
        </w:tc>
      </w:tr>
      <w:tr>
        <w:tc>
          <w:tcPr>
            <w:tcW w:type="dxa" w:w="3439"/>
          </w:tcPr>
          <w:p>
            <w:r>
              <w:t>期末資金（元）</w:t>
            </w:r>
          </w:p>
        </w:tc>
        <w:tc>
          <w:tcPr>
            <w:tcW w:type="dxa" w:w="3439"/>
          </w:tcPr>
          <w:p>
            <w:r>
              <w:t>5,472,536.58</w:t>
            </w:r>
          </w:p>
        </w:tc>
        <w:tc>
          <w:tcPr>
            <w:tcW w:type="dxa" w:w="3439"/>
          </w:tcPr>
          <w:p>
            <w:r>
              <w:t>10,463,352.66</w:t>
            </w:r>
          </w:p>
        </w:tc>
      </w:tr>
      <w:tr>
        <w:tc>
          <w:tcPr>
            <w:tcW w:type="dxa" w:w="3439"/>
          </w:tcPr>
          <w:p>
            <w:r>
              <w:t>交易次數／段數</w:t>
            </w:r>
          </w:p>
        </w:tc>
        <w:tc>
          <w:tcPr>
            <w:tcW w:type="dxa" w:w="3439"/>
          </w:tcPr>
          <w:p>
            <w:r>
              <w:t>147</w:t>
            </w:r>
          </w:p>
        </w:tc>
        <w:tc>
          <w:tcPr>
            <w:tcW w:type="dxa" w:w="3439"/>
          </w:tcPr>
          <w:p>
            <w:r>
              <w:t>98</w:t>
            </w:r>
          </w:p>
        </w:tc>
      </w:tr>
      <w:tr>
        <w:tc>
          <w:tcPr>
            <w:tcW w:type="dxa" w:w="3439"/>
          </w:tcPr>
          <w:p>
            <w:r>
              <w:t>勝率</w:t>
            </w:r>
          </w:p>
        </w:tc>
        <w:tc>
          <w:tcPr>
            <w:tcW w:type="dxa" w:w="3439"/>
          </w:tcPr>
          <w:p>
            <w:r>
              <w:t>51.70%</w:t>
            </w:r>
          </w:p>
        </w:tc>
        <w:tc>
          <w:tcPr>
            <w:tcW w:type="dxa" w:w="3439"/>
          </w:tcPr>
          <w:p>
            <w:r>
              <w:t>67.35%</w:t>
            </w:r>
          </w:p>
        </w:tc>
      </w:tr>
      <w:tr>
        <w:tc>
          <w:tcPr>
            <w:tcW w:type="dxa" w:w="3439"/>
          </w:tcPr>
          <w:p>
            <w:r>
              <w:t>Profit Factor</w:t>
            </w:r>
          </w:p>
        </w:tc>
        <w:tc>
          <w:tcPr>
            <w:tcW w:type="dxa" w:w="3439"/>
          </w:tcPr>
          <w:p>
            <w:r>
              <w:t>2.197</w:t>
            </w:r>
          </w:p>
        </w:tc>
        <w:tc>
          <w:tcPr>
            <w:tcW w:type="dxa" w:w="3439"/>
          </w:tcPr>
          <w:p>
            <w:r>
              <w:t>2.846</w:t>
            </w:r>
          </w:p>
        </w:tc>
      </w:tr>
      <w:tr>
        <w:tc>
          <w:tcPr>
            <w:tcW w:type="dxa" w:w="3439"/>
          </w:tcPr>
          <w:p>
            <w:r>
              <w:t>最大回撤（元）</w:t>
            </w:r>
          </w:p>
        </w:tc>
        <w:tc>
          <w:tcPr>
            <w:tcW w:type="dxa" w:w="3439"/>
          </w:tcPr>
          <w:p>
            <w:r>
              <w:t>487,118.76</w:t>
            </w:r>
          </w:p>
        </w:tc>
        <w:tc>
          <w:tcPr>
            <w:tcW w:type="dxa" w:w="3439"/>
          </w:tcPr>
          <w:p>
            <w:r>
              <w:t>1,693,859.80</w:t>
            </w:r>
          </w:p>
        </w:tc>
      </w:tr>
      <w:tr>
        <w:tc>
          <w:tcPr>
            <w:tcW w:type="dxa" w:w="3439"/>
          </w:tcPr>
          <w:p>
            <w:r>
              <w:t>最大回撤（%）</w:t>
            </w:r>
          </w:p>
        </w:tc>
        <w:tc>
          <w:tcPr>
            <w:tcW w:type="dxa" w:w="3439"/>
          </w:tcPr>
          <w:p>
            <w:r>
              <w:t>12.72%</w:t>
            </w:r>
          </w:p>
        </w:tc>
        <w:tc>
          <w:tcPr>
            <w:tcW w:type="dxa" w:w="3439"/>
          </w:tcPr>
          <w:p>
            <w:r>
              <w:t>28.64%</w:t>
            </w:r>
          </w:p>
        </w:tc>
      </w:tr>
      <w:tr>
        <w:tc>
          <w:tcPr>
            <w:tcW w:type="dxa" w:w="3439"/>
          </w:tcPr>
          <w:p>
            <w:r>
              <w:t>最長回撤：交易日</w:t>
            </w:r>
          </w:p>
        </w:tc>
        <w:tc>
          <w:tcPr>
            <w:tcW w:type="dxa" w:w="3439"/>
          </w:tcPr>
          <w:p>
            <w:r>
              <w:t>482</w:t>
            </w:r>
          </w:p>
        </w:tc>
        <w:tc>
          <w:tcPr>
            <w:tcW w:type="dxa" w:w="3439"/>
          </w:tcPr>
          <w:p>
            <w:r>
              <w:t>366</w:t>
            </w:r>
          </w:p>
        </w:tc>
      </w:tr>
      <w:tr>
        <w:tc>
          <w:tcPr>
            <w:tcW w:type="dxa" w:w="3439"/>
          </w:tcPr>
          <w:p>
            <w:r>
              <w:t>最長回撤：日曆日</w:t>
            </w:r>
          </w:p>
        </w:tc>
        <w:tc>
          <w:tcPr>
            <w:tcW w:type="dxa" w:w="3439"/>
          </w:tcPr>
          <w:p>
            <w:r>
              <w:t>722</w:t>
            </w:r>
          </w:p>
        </w:tc>
        <w:tc>
          <w:tcPr>
            <w:tcW w:type="dxa" w:w="3439"/>
          </w:tcPr>
          <w:p>
            <w:r>
              <w:t>555</w:t>
            </w:r>
          </w:p>
        </w:tc>
      </w:tr>
      <w:tr>
        <w:tc>
          <w:tcPr>
            <w:tcW w:type="dxa" w:w="3439"/>
          </w:tcPr>
          <w:p>
            <w:r>
              <w:t>Sharpe（rf=0）</w:t>
            </w:r>
          </w:p>
        </w:tc>
        <w:tc>
          <w:tcPr>
            <w:tcW w:type="dxa" w:w="3439"/>
          </w:tcPr>
          <w:p>
            <w:r>
              <w:t>1.367</w:t>
            </w:r>
          </w:p>
        </w:tc>
        <w:tc>
          <w:tcPr>
            <w:tcW w:type="dxa" w:w="3439"/>
          </w:tcPr>
          <w:p>
            <w:r>
              <w:t>1.147</w:t>
            </w:r>
          </w:p>
        </w:tc>
      </w:tr>
      <w:tr>
        <w:tc>
          <w:tcPr>
            <w:tcW w:type="dxa" w:w="3439"/>
          </w:tcPr>
          <w:p>
            <w:r>
              <w:t>Calmar</w:t>
            </w:r>
          </w:p>
        </w:tc>
        <w:tc>
          <w:tcPr>
            <w:tcW w:type="dxa" w:w="3439"/>
          </w:tcPr>
          <w:p>
            <w:r>
              <w:t>0.939</w:t>
            </w:r>
          </w:p>
        </w:tc>
        <w:tc>
          <w:tcPr>
            <w:tcW w:type="dxa" w:w="3439"/>
          </w:tcPr>
          <w:p>
            <w:r>
              <w:t>0.743</w:t>
            </w:r>
          </w:p>
        </w:tc>
      </w:tr>
      <w:tr>
        <w:tc>
          <w:tcPr>
            <w:tcW w:type="dxa" w:w="3439"/>
          </w:tcPr>
          <w:p>
            <w:r>
              <w:t>年化波動</w:t>
            </w:r>
          </w:p>
        </w:tc>
        <w:tc>
          <w:tcPr>
            <w:tcW w:type="dxa" w:w="3439"/>
          </w:tcPr>
          <w:p>
            <w:r>
              <w:t>8.84%</w:t>
            </w:r>
          </w:p>
        </w:tc>
        <w:tc>
          <w:tcPr>
            <w:tcW w:type="dxa" w:w="3439"/>
          </w:tcPr>
          <w:p>
            <w:r>
              <w:t>19.03%</w:t>
            </w:r>
          </w:p>
        </w:tc>
      </w:tr>
      <w:tr>
        <w:tc>
          <w:tcPr>
            <w:tcW w:type="dxa" w:w="3439"/>
          </w:tcPr>
          <w:p>
            <w:r>
              <w:t>全部成本（元）</w:t>
            </w:r>
          </w:p>
        </w:tc>
        <w:tc>
          <w:tcPr>
            <w:tcW w:type="dxa" w:w="3439"/>
          </w:tcPr>
          <w:p>
            <w:r>
              <w:t>192,063.42</w:t>
            </w:r>
          </w:p>
        </w:tc>
        <w:tc>
          <w:tcPr>
            <w:tcW w:type="dxa" w:w="3439"/>
          </w:tcPr>
          <w:p>
            <w:r>
              <w:t>102,847.34</w:t>
            </w:r>
          </w:p>
        </w:tc>
      </w:tr>
    </w:tbl>
    <w:p>
      <w:r>
        <w:t>同期間、同一口、同起始資金。固定一口Buy-and-Hold是可直接執行的曝險比較；策略有658個日末持倉日，基準幾乎全期持有，兩者承擔市場風險的時間不同。MDD金額及比例各自取全期最大值，可能發生於不同日期。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年度</w:t>
            </w:r>
          </w:p>
        </w:tc>
        <w:tc>
          <w:tcPr>
            <w:tcW w:type="dxa" w:w="2064"/>
          </w:tcPr>
          <w:p>
            <w:r>
              <w:t>策略損益（元）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基準損益（元）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</w:tr>
      <w:tr>
        <w:tc>
          <w:tcPr>
            <w:tcW w:type="dxa" w:w="2064"/>
          </w:tcPr>
          <w:p>
            <w:r>
              <w:t>2018</w:t>
            </w:r>
          </w:p>
        </w:tc>
        <w:tc>
          <w:tcPr>
            <w:tcW w:type="dxa" w:w="2064"/>
          </w:tcPr>
          <w:p>
            <w:r>
              <w:t>-144,387</w:t>
            </w:r>
          </w:p>
        </w:tc>
        <w:tc>
          <w:tcPr>
            <w:tcW w:type="dxa" w:w="2064"/>
          </w:tcPr>
          <w:p>
            <w:r>
              <w:t>-6.58%</w:t>
            </w:r>
          </w:p>
        </w:tc>
        <w:tc>
          <w:tcPr>
            <w:tcW w:type="dxa" w:w="2064"/>
          </w:tcPr>
          <w:p>
            <w:r>
              <w:t>-247,015</w:t>
            </w:r>
          </w:p>
        </w:tc>
        <w:tc>
          <w:tcPr>
            <w:tcW w:type="dxa" w:w="2064"/>
          </w:tcPr>
          <w:p>
            <w:r>
              <w:t>-11.25%</w:t>
            </w:r>
          </w:p>
        </w:tc>
      </w:tr>
      <w:tr>
        <w:tc>
          <w:tcPr>
            <w:tcW w:type="dxa" w:w="2064"/>
          </w:tcPr>
          <w:p>
            <w:r>
              <w:t>2019</w:t>
            </w:r>
          </w:p>
        </w:tc>
        <w:tc>
          <w:tcPr>
            <w:tcW w:type="dxa" w:w="2064"/>
          </w:tcPr>
          <w:p>
            <w:r>
              <w:t>439,590</w:t>
            </w:r>
          </w:p>
        </w:tc>
        <w:tc>
          <w:tcPr>
            <w:tcW w:type="dxa" w:w="2064"/>
          </w:tcPr>
          <w:p>
            <w:r>
              <w:t>21.44%</w:t>
            </w:r>
          </w:p>
        </w:tc>
        <w:tc>
          <w:tcPr>
            <w:tcW w:type="dxa" w:w="2064"/>
          </w:tcPr>
          <w:p>
            <w:r>
              <w:t>548,965</w:t>
            </w:r>
          </w:p>
        </w:tc>
        <w:tc>
          <w:tcPr>
            <w:tcW w:type="dxa" w:w="2064"/>
          </w:tcPr>
          <w:p>
            <w:r>
              <w:t>28.18%</w:t>
            </w:r>
          </w:p>
        </w:tc>
      </w:tr>
      <w:tr>
        <w:tc>
          <w:tcPr>
            <w:tcW w:type="dxa" w:w="2064"/>
          </w:tcPr>
          <w:p>
            <w:r>
              <w:t>2020</w:t>
            </w:r>
          </w:p>
        </w:tc>
        <w:tc>
          <w:tcPr>
            <w:tcW w:type="dxa" w:w="2064"/>
          </w:tcPr>
          <w:p>
            <w:r>
              <w:t>639,655</w:t>
            </w:r>
          </w:p>
        </w:tc>
        <w:tc>
          <w:tcPr>
            <w:tcW w:type="dxa" w:w="2064"/>
          </w:tcPr>
          <w:p>
            <w:r>
              <w:t>25.69%</w:t>
            </w:r>
          </w:p>
        </w:tc>
        <w:tc>
          <w:tcPr>
            <w:tcW w:type="dxa" w:w="2064"/>
          </w:tcPr>
          <w:p>
            <w:r>
              <w:t>733,649</w:t>
            </w:r>
          </w:p>
        </w:tc>
        <w:tc>
          <w:tcPr>
            <w:tcW w:type="dxa" w:w="2064"/>
          </w:tcPr>
          <w:p>
            <w:r>
              <w:t>29.38%</w:t>
            </w:r>
          </w:p>
        </w:tc>
      </w:tr>
      <w:tr>
        <w:tc>
          <w:tcPr>
            <w:tcW w:type="dxa" w:w="2064"/>
          </w:tcPr>
          <w:p>
            <w:r>
              <w:t>2021</w:t>
            </w:r>
          </w:p>
        </w:tc>
        <w:tc>
          <w:tcPr>
            <w:tcW w:type="dxa" w:w="2064"/>
          </w:tcPr>
          <w:p>
            <w:r>
              <w:t>194,363</w:t>
            </w:r>
          </w:p>
        </w:tc>
        <w:tc>
          <w:tcPr>
            <w:tcW w:type="dxa" w:w="2064"/>
          </w:tcPr>
          <w:p>
            <w:r>
              <w:t>6.21%</w:t>
            </w:r>
          </w:p>
        </w:tc>
        <w:tc>
          <w:tcPr>
            <w:tcW w:type="dxa" w:w="2064"/>
          </w:tcPr>
          <w:p>
            <w:r>
              <w:t>884,182</w:t>
            </w:r>
          </w:p>
        </w:tc>
        <w:tc>
          <w:tcPr>
            <w:tcW w:type="dxa" w:w="2064"/>
          </w:tcPr>
          <w:p>
            <w:r>
              <w:t>27.37%</w:t>
            </w:r>
          </w:p>
        </w:tc>
      </w:tr>
      <w:tr>
        <w:tc>
          <w:tcPr>
            <w:tcW w:type="dxa" w:w="2064"/>
          </w:tcPr>
          <w:p>
            <w:r>
              <w:t>2022</w:t>
            </w:r>
          </w:p>
        </w:tc>
        <w:tc>
          <w:tcPr>
            <w:tcW w:type="dxa" w:w="2064"/>
          </w:tcPr>
          <w:p>
            <w:r>
              <w:t>-46,253</w:t>
            </w:r>
          </w:p>
        </w:tc>
        <w:tc>
          <w:tcPr>
            <w:tcW w:type="dxa" w:w="2064"/>
          </w:tcPr>
          <w:p>
            <w:r>
              <w:t>-1.39%</w:t>
            </w:r>
          </w:p>
        </w:tc>
        <w:tc>
          <w:tcPr>
            <w:tcW w:type="dxa" w:w="2064"/>
          </w:tcPr>
          <w:p>
            <w:r>
              <w:t>-624,106</w:t>
            </w:r>
          </w:p>
        </w:tc>
        <w:tc>
          <w:tcPr>
            <w:tcW w:type="dxa" w:w="2064"/>
          </w:tcPr>
          <w:p>
            <w:r>
              <w:t>-15.17%</w:t>
            </w:r>
          </w:p>
        </w:tc>
      </w:tr>
      <w:tr>
        <w:tc>
          <w:tcPr>
            <w:tcW w:type="dxa" w:w="2064"/>
          </w:tcPr>
          <w:p>
            <w:r>
              <w:t>2023</w:t>
            </w:r>
          </w:p>
        </w:tc>
        <w:tc>
          <w:tcPr>
            <w:tcW w:type="dxa" w:w="2064"/>
          </w:tcPr>
          <w:p>
            <w:r>
              <w:t>192,431</w:t>
            </w:r>
          </w:p>
        </w:tc>
        <w:tc>
          <w:tcPr>
            <w:tcW w:type="dxa" w:w="2064"/>
          </w:tcPr>
          <w:p>
            <w:r>
              <w:t>5.87%</w:t>
            </w:r>
          </w:p>
        </w:tc>
        <w:tc>
          <w:tcPr>
            <w:tcW w:type="dxa" w:w="2064"/>
          </w:tcPr>
          <w:p>
            <w:r>
              <w:t>811,432</w:t>
            </w:r>
          </w:p>
        </w:tc>
        <w:tc>
          <w:tcPr>
            <w:tcW w:type="dxa" w:w="2064"/>
          </w:tcPr>
          <w:p>
            <w:r>
              <w:t>23.25%</w:t>
            </w:r>
          </w:p>
        </w:tc>
      </w:tr>
      <w:tr>
        <w:tc>
          <w:tcPr>
            <w:tcW w:type="dxa" w:w="2064"/>
          </w:tcPr>
          <w:p>
            <w:r>
              <w:t>2024</w:t>
            </w:r>
          </w:p>
        </w:tc>
        <w:tc>
          <w:tcPr>
            <w:tcW w:type="dxa" w:w="2064"/>
          </w:tcPr>
          <w:p>
            <w:r>
              <w:t>-21,064</w:t>
            </w:r>
          </w:p>
        </w:tc>
        <w:tc>
          <w:tcPr>
            <w:tcW w:type="dxa" w:w="2064"/>
          </w:tcPr>
          <w:p>
            <w:r>
              <w:t>-0.61%</w:t>
            </w:r>
          </w:p>
        </w:tc>
        <w:tc>
          <w:tcPr>
            <w:tcW w:type="dxa" w:w="2064"/>
          </w:tcPr>
          <w:p>
            <w:r>
              <w:t>999,143</w:t>
            </w:r>
          </w:p>
        </w:tc>
        <w:tc>
          <w:tcPr>
            <w:tcW w:type="dxa" w:w="2064"/>
          </w:tcPr>
          <w:p>
            <w:r>
              <w:t>23.22%</w:t>
            </w:r>
          </w:p>
        </w:tc>
      </w:tr>
      <w:tr>
        <w:tc>
          <w:tcPr>
            <w:tcW w:type="dxa" w:w="2064"/>
          </w:tcPr>
          <w:p>
            <w:r>
              <w:t>2025</w:t>
            </w:r>
          </w:p>
        </w:tc>
        <w:tc>
          <w:tcPr>
            <w:tcW w:type="dxa" w:w="2064"/>
          </w:tcPr>
          <w:p>
            <w:r>
              <w:t>771,097</w:t>
            </w:r>
          </w:p>
        </w:tc>
        <w:tc>
          <w:tcPr>
            <w:tcW w:type="dxa" w:w="2064"/>
          </w:tcPr>
          <w:p>
            <w:r>
              <w:t>22.35%</w:t>
            </w:r>
          </w:p>
        </w:tc>
        <w:tc>
          <w:tcPr>
            <w:tcW w:type="dxa" w:w="2064"/>
          </w:tcPr>
          <w:p>
            <w:r>
              <w:t>1,268,113</w:t>
            </w:r>
          </w:p>
        </w:tc>
        <w:tc>
          <w:tcPr>
            <w:tcW w:type="dxa" w:w="2064"/>
          </w:tcPr>
          <w:p>
            <w:r>
              <w:t>23.92%</w:t>
            </w:r>
          </w:p>
        </w:tc>
      </w:tr>
      <w:tr>
        <w:tc>
          <w:tcPr>
            <w:tcW w:type="dxa" w:w="2064"/>
          </w:tcPr>
          <w:p>
            <w:r>
              <w:t>2026</w:t>
            </w:r>
          </w:p>
        </w:tc>
        <w:tc>
          <w:tcPr>
            <w:tcW w:type="dxa" w:w="2064"/>
          </w:tcPr>
          <w:p>
            <w:r>
              <w:t>1,252,106</w:t>
            </w:r>
          </w:p>
        </w:tc>
        <w:tc>
          <w:tcPr>
            <w:tcW w:type="dxa" w:w="2064"/>
          </w:tcPr>
          <w:p>
            <w:r>
              <w:t>29.67%</w:t>
            </w:r>
          </w:p>
        </w:tc>
        <w:tc>
          <w:tcPr>
            <w:tcW w:type="dxa" w:w="2064"/>
          </w:tcPr>
          <w:p>
            <w:r>
              <w:t>3,893,988</w:t>
            </w:r>
          </w:p>
        </w:tc>
        <w:tc>
          <w:tcPr>
            <w:tcW w:type="dxa" w:w="2064"/>
          </w:tcPr>
          <w:p>
            <w:r>
              <w:t>59.27%</w:t>
            </w:r>
          </w:p>
        </w:tc>
      </w:tr>
    </w:tbl>
    <w:p>
      <w:r>
        <w:t>2018、2026為部分年度；年度報酬未年化，以該年首日損益前權益為分母。PF=淨正損益合計／淨負損益絕對值合計。最長回撤包含期末未恢復區間，含初始本金高點及空手日。</w:t>
      </w:r>
    </w:p>
    <w:p>
      <w:pPr>
        <w:pStyle w:val="Heading1"/>
        <w:pageBreakBefore/>
      </w:pPr>
      <w:r>
        <w:t>肆（續）資產淨值累積曲線、回撤水下圖與風險配平診斷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_lo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圖二（Equity Curve）：上方兩圖只比較策略與固定一口 Buy-and-Hold；左為線性Y軸、右為對數Y軸。風險配平 benchmark 不加入圖表，避免與可直接交易的固定一口路徑混淆。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圖三（Underwater Chart）：回撤仍只比較策略與固定一口基準。策略MDD為12.72%，固定一口基準為28.64%。</w:t>
      </w:r>
    </w:p>
    <w:p>
      <w:r>
        <w:t>風險配平比較（僅列於表格）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指標</w:t>
            </w:r>
          </w:p>
        </w:tc>
        <w:tc>
          <w:tcPr>
            <w:tcW w:type="dxa" w:w="2579"/>
          </w:tcPr>
          <w:p>
            <w:r>
              <w:t>固定一口基準</w:t>
            </w:r>
          </w:p>
        </w:tc>
        <w:tc>
          <w:tcPr>
            <w:tcW w:type="dxa" w:w="2579"/>
          </w:tcPr>
          <w:p>
            <w:r>
              <w:t>風險配平基準</w:t>
            </w:r>
          </w:p>
        </w:tc>
        <w:tc>
          <w:tcPr>
            <w:tcW w:type="dxa" w:w="2579"/>
          </w:tcPr>
          <w:p>
            <w:r>
              <w:t>V04策略</w:t>
            </w:r>
          </w:p>
        </w:tc>
      </w:tr>
      <w:tr>
        <w:tc>
          <w:tcPr>
            <w:tcW w:type="dxa" w:w="2579"/>
          </w:tcPr>
          <w:p>
            <w:r>
              <w:t>部位</w:t>
            </w:r>
          </w:p>
        </w:tc>
        <w:tc>
          <w:tcPr>
            <w:tcW w:type="dxa" w:w="2579"/>
          </w:tcPr>
          <w:p>
            <w:r>
              <w:t>1.000口</w:t>
            </w:r>
          </w:p>
        </w:tc>
        <w:tc>
          <w:tcPr>
            <w:tcW w:type="dxa" w:w="2579"/>
          </w:tcPr>
          <w:p>
            <w:r>
              <w:t>0.293口</w:t>
            </w:r>
          </w:p>
        </w:tc>
        <w:tc>
          <w:tcPr>
            <w:tcW w:type="dxa" w:w="2579"/>
          </w:tcPr>
          <w:p>
            <w:r>
              <w:t>持倉時1口</w:t>
            </w:r>
          </w:p>
        </w:tc>
      </w:tr>
      <w:tr>
        <w:tc>
          <w:tcPr>
            <w:tcW w:type="dxa" w:w="2579"/>
          </w:tcPr>
          <w:p>
            <w:r>
              <w:t>年化波動</w:t>
            </w:r>
          </w:p>
        </w:tc>
        <w:tc>
          <w:tcPr>
            <w:tcW w:type="dxa" w:w="2579"/>
          </w:tcPr>
          <w:p>
            <w:r>
              <w:t>19.03%</w:t>
            </w:r>
          </w:p>
        </w:tc>
        <w:tc>
          <w:tcPr>
            <w:tcW w:type="dxa" w:w="2579"/>
          </w:tcPr>
          <w:p>
            <w:r>
              <w:t>8.84%</w:t>
            </w:r>
          </w:p>
        </w:tc>
        <w:tc>
          <w:tcPr>
            <w:tcW w:type="dxa" w:w="2579"/>
          </w:tcPr>
          <w:p>
            <w:r>
              <w:t>8.84%</w:t>
            </w:r>
          </w:p>
        </w:tc>
      </w:tr>
      <w:tr>
        <w:tc>
          <w:tcPr>
            <w:tcW w:type="dxa" w:w="2579"/>
          </w:tcPr>
          <w:p>
            <w:r>
              <w:t>CAGR</w:t>
            </w:r>
          </w:p>
        </w:tc>
        <w:tc>
          <w:tcPr>
            <w:tcW w:type="dxa" w:w="2579"/>
          </w:tcPr>
          <w:p>
            <w:r>
              <w:t>21.27%</w:t>
            </w:r>
          </w:p>
        </w:tc>
        <w:tc>
          <w:tcPr>
            <w:tcW w:type="dxa" w:w="2579"/>
          </w:tcPr>
          <w:p>
            <w:r>
              <w:t>9.61%</w:t>
            </w:r>
          </w:p>
        </w:tc>
        <w:tc>
          <w:tcPr>
            <w:tcW w:type="dxa" w:w="2579"/>
          </w:tcPr>
          <w:p>
            <w:r>
              <w:t>11.94%</w:t>
            </w:r>
          </w:p>
        </w:tc>
      </w:tr>
      <w:tr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1.147</w:t>
            </w:r>
          </w:p>
        </w:tc>
        <w:tc>
          <w:tcPr>
            <w:tcW w:type="dxa" w:w="2579"/>
          </w:tcPr>
          <w:p>
            <w:r>
              <w:t>1.120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</w:tr>
      <w:tr>
        <w:tc>
          <w:tcPr>
            <w:tcW w:type="dxa" w:w="2579"/>
          </w:tcPr>
          <w:p>
            <w:r>
              <w:t>MDD</w:t>
            </w:r>
          </w:p>
        </w:tc>
        <w:tc>
          <w:tcPr>
            <w:tcW w:type="dxa" w:w="2579"/>
          </w:tcPr>
          <w:p>
            <w:r>
              <w:t>28.64%</w:t>
            </w:r>
          </w:p>
        </w:tc>
        <w:tc>
          <w:tcPr>
            <w:tcW w:type="dxa" w:w="2579"/>
          </w:tcPr>
          <w:p>
            <w:r>
              <w:t>13.67%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Calmar</w:t>
            </w:r>
          </w:p>
        </w:tc>
        <w:tc>
          <w:tcPr>
            <w:tcW w:type="dxa" w:w="2579"/>
          </w:tcPr>
          <w:p>
            <w:r>
              <w:t>0.743</w:t>
            </w:r>
          </w:p>
        </w:tc>
        <w:tc>
          <w:tcPr>
            <w:tcW w:type="dxa" w:w="2579"/>
          </w:tcPr>
          <w:p>
            <w:r>
              <w:t>0.703</w:t>
            </w:r>
          </w:p>
        </w:tc>
        <w:tc>
          <w:tcPr>
            <w:tcW w:type="dxa" w:w="2579"/>
          </w:tcPr>
          <w:p>
            <w:r>
              <w:t>0.939</w:t>
            </w:r>
          </w:p>
        </w:tc>
      </w:tr>
    </w:tbl>
    <w:p>
      <w:r>
        <w:t>風險配平基準將固定一口 benchmark 的每日毛損益與全部成本同比例縮放至約0.293口，使年化波動與策略同為8.84%。配平後 Sharpe 為1.120，策略為1.367。此係數由完整樣本事後估計，且TX不能交易小數口，因此只用於同風險尺度比較。</w:t>
      </w:r>
    </w:p>
    <w:p>
      <w:pPr>
        <w:pStyle w:val="Heading1"/>
        <w:pageBreakBefore/>
      </w:pPr>
      <w:r>
        <w:t>肆（續）成本敏感度、條件診斷與特殊期間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每邊滑價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策略Sharpe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  <w:tc>
          <w:tcPr>
            <w:tcW w:type="dxa" w:w="2064"/>
          </w:tcPr>
          <w:p>
            <w:r>
              <w:t>基準Sharpe</w:t>
            </w:r>
          </w:p>
        </w:tc>
      </w:tr>
      <w:tr>
        <w:tc>
          <w:tcPr>
            <w:tcW w:type="dxa" w:w="2064"/>
          </w:tcPr>
          <w:p>
            <w:r>
              <w:t>1點</w:t>
            </w:r>
          </w:p>
        </w:tc>
        <w:tc>
          <w:tcPr>
            <w:tcW w:type="dxa" w:w="2064"/>
          </w:tcPr>
          <w:p>
            <w:r>
              <w:t>152.67%</w:t>
            </w:r>
          </w:p>
        </w:tc>
        <w:tc>
          <w:tcPr>
            <w:tcW w:type="dxa" w:w="2064"/>
          </w:tcPr>
          <w:p>
            <w:r>
              <w:t>1.402</w:t>
            </w:r>
          </w:p>
        </w:tc>
        <w:tc>
          <w:tcPr>
            <w:tcW w:type="dxa" w:w="2064"/>
          </w:tcPr>
          <w:p>
            <w:r>
              <w:t>378.48%</w:t>
            </w:r>
          </w:p>
        </w:tc>
        <w:tc>
          <w:tcPr>
            <w:tcW w:type="dxa" w:w="2064"/>
          </w:tcPr>
          <w:p>
            <w:r>
              <w:t>1.154</w:t>
            </w:r>
          </w:p>
        </w:tc>
      </w:tr>
      <w:tr>
        <w:tc>
          <w:tcPr>
            <w:tcW w:type="dxa" w:w="2064"/>
          </w:tcPr>
          <w:p>
            <w:r>
              <w:t>2點</w:t>
            </w:r>
          </w:p>
        </w:tc>
        <w:tc>
          <w:tcPr>
            <w:tcW w:type="dxa" w:w="2064"/>
          </w:tcPr>
          <w:p>
            <w:r>
              <w:t>149.32%</w:t>
            </w:r>
          </w:p>
        </w:tc>
        <w:tc>
          <w:tcPr>
            <w:tcW w:type="dxa" w:w="2064"/>
          </w:tcPr>
          <w:p>
            <w:r>
              <w:t>1.367</w:t>
            </w:r>
          </w:p>
        </w:tc>
        <w:tc>
          <w:tcPr>
            <w:tcW w:type="dxa" w:w="2064"/>
          </w:tcPr>
          <w:p>
            <w:r>
              <w:t>376.69%</w:t>
            </w:r>
          </w:p>
        </w:tc>
        <w:tc>
          <w:tcPr>
            <w:tcW w:type="dxa" w:w="2064"/>
          </w:tcPr>
          <w:p>
            <w:r>
              <w:t>1.147</w:t>
            </w:r>
          </w:p>
        </w:tc>
      </w:tr>
      <w:tr>
        <w:tc>
          <w:tcPr>
            <w:tcW w:type="dxa" w:w="2064"/>
          </w:tcPr>
          <w:p>
            <w:r>
              <w:t>4點</w:t>
            </w:r>
          </w:p>
        </w:tc>
        <w:tc>
          <w:tcPr>
            <w:tcW w:type="dxa" w:w="2064"/>
          </w:tcPr>
          <w:p>
            <w:r>
              <w:t>142.61%</w:t>
            </w:r>
          </w:p>
        </w:tc>
        <w:tc>
          <w:tcPr>
            <w:tcW w:type="dxa" w:w="2064"/>
          </w:tcPr>
          <w:p>
            <w:r>
              <w:t>1.299</w:t>
            </w:r>
          </w:p>
        </w:tc>
        <w:tc>
          <w:tcPr>
            <w:tcW w:type="dxa" w:w="2064"/>
          </w:tcPr>
          <w:p>
            <w:r>
              <w:t>373.12%</w:t>
            </w:r>
          </w:p>
        </w:tc>
        <w:tc>
          <w:tcPr>
            <w:tcW w:type="dxa" w:w="2064"/>
          </w:tcPr>
          <w:p>
            <w:r>
              <w:t>1.133</w:t>
            </w:r>
          </w:p>
        </w:tc>
      </w:tr>
    </w:tbl>
    <w:p>
      <w:r>
        <w:t>基準2點設定下，策略毛損益3,469,600.00元，成本192,063.42元，占毛獲利5.54%。其中手續費18,400.00元、期交稅26,463.42元、滑價147,200.00元。4點滑價時Sharpe為1.299；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規則</w:t>
            </w:r>
          </w:p>
        </w:tc>
        <w:tc>
          <w:tcPr>
            <w:tcW w:type="dxa" w:w="2579"/>
          </w:tcPr>
          <w:p>
            <w:r>
              <w:t>報酬</w:t>
            </w:r>
          </w:p>
        </w:tc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MDD</w:t>
            </w:r>
          </w:p>
        </w:tc>
      </w:tr>
      <w:tr>
        <w:tc>
          <w:tcPr>
            <w:tcW w:type="dxa" w:w="2579"/>
          </w:tcPr>
          <w:p>
            <w:r>
              <w:t>交易強度＋價格趨勢</w:t>
            </w:r>
          </w:p>
        </w:tc>
        <w:tc>
          <w:tcPr>
            <w:tcW w:type="dxa" w:w="2579"/>
          </w:tcPr>
          <w:p>
            <w:r>
              <w:t>149.32%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交易強度20日單獨</w:t>
            </w:r>
          </w:p>
        </w:tc>
        <w:tc>
          <w:tcPr>
            <w:tcW w:type="dxa" w:w="2579"/>
          </w:tcPr>
          <w:p>
            <w:r>
              <w:t>192.42%</w:t>
            </w:r>
          </w:p>
        </w:tc>
        <w:tc>
          <w:tcPr>
            <w:tcW w:type="dxa" w:w="2579"/>
          </w:tcPr>
          <w:p>
            <w:r>
              <w:t>0.956</w:t>
            </w:r>
          </w:p>
        </w:tc>
        <w:tc>
          <w:tcPr>
            <w:tcW w:type="dxa" w:w="2579"/>
          </w:tcPr>
          <w:p>
            <w:r>
              <w:t>27.72%</w:t>
            </w:r>
          </w:p>
        </w:tc>
      </w:tr>
      <w:tr>
        <w:tc>
          <w:tcPr>
            <w:tcW w:type="dxa" w:w="2579"/>
          </w:tcPr>
          <w:p>
            <w:r>
              <w:t>價格20日趨勢單獨</w:t>
            </w:r>
          </w:p>
        </w:tc>
        <w:tc>
          <w:tcPr>
            <w:tcW w:type="dxa" w:w="2579"/>
          </w:tcPr>
          <w:p>
            <w:r>
              <w:t>219.87%</w:t>
            </w:r>
          </w:p>
        </w:tc>
        <w:tc>
          <w:tcPr>
            <w:tcW w:type="dxa" w:w="2579"/>
          </w:tcPr>
          <w:p>
            <w:r>
              <w:t>1.118</w:t>
            </w:r>
          </w:p>
        </w:tc>
        <w:tc>
          <w:tcPr>
            <w:tcW w:type="dxa" w:w="2579"/>
          </w:tcPr>
          <w:p>
            <w:r>
              <w:t>23.86%</w:t>
            </w:r>
          </w:p>
        </w:tc>
      </w:tr>
    </w:tbl>
    <w:p>
      <w:r>
        <w:t>消融表列出雙條件、單獨法人條件及單獨價格條件在同一期間的結果；報酬、回撤與曝險可分別對照。消融是在選定策略後作的描述，不能消除先前候選挑選造成的偏誤。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2.197；持有日曆日平均6.90日、中位數3日，最長84日。前五筆獲利合計占總淨利55.46%；最近兩個曆年（2025、2026）合計占總淨利61.73%，仍需注意少數交易及近期年份的影響。2018–2022淨利1,082,967.22元、描述性Sharpe 1.224；2023–2026淨利2,194,569.35元、描述性Sharpe 1.518。年度虧損年份：2018、2022、2024。</w:t>
      </w:r>
    </w:p>
    <w:p>
      <w:r>
        <w:t>特殊期間：急跌與跳空事件下的訊號狀態（事後描述，不用於調整規則）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</w:tcPr>
          <w:p>
            <w:r>
              <w:t>事件視窗</w:t>
            </w:r>
          </w:p>
        </w:tc>
        <w:tc>
          <w:tcPr>
            <w:tcW w:type="dxa" w:w="1290"/>
          </w:tcPr>
          <w:p>
            <w:r>
              <w:t>交易日</w:t>
            </w:r>
          </w:p>
        </w:tc>
        <w:tc>
          <w:tcPr>
            <w:tcW w:type="dxa" w:w="1290"/>
          </w:tcPr>
          <w:p>
            <w:r>
              <w:t>起點部位</w:t>
            </w:r>
          </w:p>
        </w:tc>
        <w:tc>
          <w:tcPr>
            <w:tcW w:type="dxa" w:w="1290"/>
          </w:tcPr>
          <w:p>
            <w:r>
              <w:t>持倉日</w:t>
            </w:r>
          </w:p>
        </w:tc>
        <w:tc>
          <w:tcPr>
            <w:tcW w:type="dxa" w:w="1290"/>
          </w:tcPr>
          <w:p>
            <w:r>
              <w:t>策略損益（元）</w:t>
            </w:r>
          </w:p>
        </w:tc>
        <w:tc>
          <w:tcPr>
            <w:tcW w:type="dxa" w:w="1290"/>
          </w:tcPr>
          <w:p>
            <w:r>
              <w:t>基準損益（元）</w:t>
            </w:r>
          </w:p>
        </w:tc>
        <w:tc>
          <w:tcPr>
            <w:tcW w:type="dxa" w:w="1290"/>
          </w:tcPr>
          <w:p>
            <w:r>
              <w:t>最深開盤跳空（日期）</w:t>
            </w:r>
          </w:p>
        </w:tc>
        <w:tc>
          <w:tcPr>
            <w:tcW w:type="dxa" w:w="1290"/>
          </w:tcPr>
          <w:p>
            <w:r>
              <w:t>跳空日持倉</w:t>
            </w:r>
          </w:p>
        </w:tc>
      </w:tr>
      <w:tr>
        <w:tc>
          <w:tcPr>
            <w:tcW w:type="dxa" w:w="1290"/>
          </w:tcPr>
          <w:p>
            <w:r>
              <w:t>2018Q4 美股修正急跌</w:t>
            </w:r>
          </w:p>
        </w:tc>
        <w:tc>
          <w:tcPr>
            <w:tcW w:type="dxa" w:w="1290"/>
          </w:tcPr>
          <w:p>
            <w:r>
              <w:t>65</w:t>
            </w:r>
          </w:p>
        </w:tc>
        <w:tc>
          <w:tcPr>
            <w:tcW w:type="dxa" w:w="1290"/>
          </w:tcPr>
          <w:p>
            <w:r>
              <w:t>多單</w:t>
            </w:r>
          </w:p>
        </w:tc>
        <w:tc>
          <w:tcPr>
            <w:tcW w:type="dxa" w:w="1290"/>
          </w:tcPr>
          <w:p>
            <w:r>
              <w:t>15</w:t>
            </w:r>
          </w:p>
        </w:tc>
        <w:tc>
          <w:tcPr>
            <w:tcW w:type="dxa" w:w="1290"/>
          </w:tcPr>
          <w:p>
            <w:r>
              <w:t>-92,732</w:t>
            </w:r>
          </w:p>
        </w:tc>
        <w:tc>
          <w:tcPr>
            <w:tcW w:type="dxa" w:w="1290"/>
          </w:tcPr>
          <w:p>
            <w:r>
              <w:t>-241,935</w:t>
            </w:r>
          </w:p>
        </w:tc>
        <w:tc>
          <w:tcPr>
            <w:tcW w:type="dxa" w:w="1290"/>
          </w:tcPr>
          <w:p>
            <w:r>
              <w:t>-4.1%（10-11）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2020Q1 COVID-19股災</w:t>
            </w:r>
          </w:p>
        </w:tc>
        <w:tc>
          <w:tcPr>
            <w:tcW w:type="dxa" w:w="1290"/>
          </w:tcPr>
          <w:p>
            <w:r>
              <w:t>28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1</w:t>
            </w:r>
          </w:p>
        </w:tc>
        <w:tc>
          <w:tcPr>
            <w:tcW w:type="dxa" w:w="1290"/>
          </w:tcPr>
          <w:p>
            <w:r>
              <w:t>-31,994</w:t>
            </w:r>
          </w:p>
        </w:tc>
        <w:tc>
          <w:tcPr>
            <w:tcW w:type="dxa" w:w="1290"/>
          </w:tcPr>
          <w:p>
            <w:r>
              <w:t>-399,574</w:t>
            </w:r>
          </w:p>
        </w:tc>
        <w:tc>
          <w:tcPr>
            <w:tcW w:type="dxa" w:w="1290"/>
          </w:tcPr>
          <w:p>
            <w:r>
              <w:t>-6.0%（03-13）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2021-05 本土疫情修正</w:t>
            </w:r>
          </w:p>
        </w:tc>
        <w:tc>
          <w:tcPr>
            <w:tcW w:type="dxa" w:w="1290"/>
          </w:tcPr>
          <w:p>
            <w:r>
              <w:t>16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2</w:t>
            </w:r>
          </w:p>
        </w:tc>
        <w:tc>
          <w:tcPr>
            <w:tcW w:type="dxa" w:w="1290"/>
          </w:tcPr>
          <w:p>
            <w:r>
              <w:t>58,566</w:t>
            </w:r>
          </w:p>
        </w:tc>
        <w:tc>
          <w:tcPr>
            <w:tcW w:type="dxa" w:w="1290"/>
          </w:tcPr>
          <w:p>
            <w:r>
              <w:t>-42,829</w:t>
            </w:r>
          </w:p>
        </w:tc>
        <w:tc>
          <w:tcPr>
            <w:tcW w:type="dxa" w:w="1290"/>
          </w:tcPr>
          <w:p>
            <w:r>
              <w:t>-3.7%（05-17）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2022 升息空頭（全年）</w:t>
            </w:r>
          </w:p>
        </w:tc>
        <w:tc>
          <w:tcPr>
            <w:tcW w:type="dxa" w:w="1290"/>
          </w:tcPr>
          <w:p>
            <w:r>
              <w:t>246</w:t>
            </w:r>
          </w:p>
        </w:tc>
        <w:tc>
          <w:tcPr>
            <w:tcW w:type="dxa" w:w="1290"/>
          </w:tcPr>
          <w:p>
            <w:r>
              <w:t>多單</w:t>
            </w:r>
          </w:p>
        </w:tc>
        <w:tc>
          <w:tcPr>
            <w:tcW w:type="dxa" w:w="1290"/>
          </w:tcPr>
          <w:p>
            <w:r>
              <w:t>69</w:t>
            </w:r>
          </w:p>
        </w:tc>
        <w:tc>
          <w:tcPr>
            <w:tcW w:type="dxa" w:w="1290"/>
          </w:tcPr>
          <w:p>
            <w:r>
              <w:t>-46,253</w:t>
            </w:r>
          </w:p>
        </w:tc>
        <w:tc>
          <w:tcPr>
            <w:tcW w:type="dxa" w:w="1290"/>
          </w:tcPr>
          <w:p>
            <w:r>
              <w:t>-624,106</w:t>
            </w:r>
          </w:p>
        </w:tc>
        <w:tc>
          <w:tcPr>
            <w:tcW w:type="dxa" w:w="1290"/>
          </w:tcPr>
          <w:p>
            <w:r>
              <w:t>-3.2%（10-11）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2024-08 全球急跌</w:t>
            </w:r>
          </w:p>
        </w:tc>
        <w:tc>
          <w:tcPr>
            <w:tcW w:type="dxa" w:w="1290"/>
          </w:tcPr>
          <w:p>
            <w:r>
              <w:t>7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-161,800</w:t>
            </w:r>
          </w:p>
        </w:tc>
        <w:tc>
          <w:tcPr>
            <w:tcW w:type="dxa" w:w="1290"/>
          </w:tcPr>
          <w:p>
            <w:r>
              <w:t>-3.8%（08-05）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2025-04 美國關稅衝擊</w:t>
            </w:r>
          </w:p>
        </w:tc>
        <w:tc>
          <w:tcPr>
            <w:tcW w:type="dxa" w:w="1290"/>
          </w:tcPr>
          <w:p>
            <w:r>
              <w:t>20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3</w:t>
            </w:r>
          </w:p>
        </w:tc>
        <w:tc>
          <w:tcPr>
            <w:tcW w:type="dxa" w:w="1290"/>
          </w:tcPr>
          <w:p>
            <w:r>
              <w:t>36,270</w:t>
            </w:r>
          </w:p>
        </w:tc>
        <w:tc>
          <w:tcPr>
            <w:tcW w:type="dxa" w:w="1290"/>
          </w:tcPr>
          <w:p>
            <w:r>
              <w:t>-121,258</w:t>
            </w:r>
          </w:p>
        </w:tc>
        <w:tc>
          <w:tcPr>
            <w:tcW w:type="dxa" w:w="1290"/>
          </w:tcPr>
          <w:p>
            <w:r>
              <w:t>-10.0%（04-07）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2026-03 跳空（資料辨識）</w:t>
            </w:r>
          </w:p>
        </w:tc>
        <w:tc>
          <w:tcPr>
            <w:tcW w:type="dxa" w:w="1290"/>
          </w:tcPr>
          <w:p>
            <w:r>
              <w:t>22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-749,171</w:t>
            </w:r>
          </w:p>
        </w:tc>
        <w:tc>
          <w:tcPr>
            <w:tcW w:type="dxa" w:w="1290"/>
          </w:tcPr>
          <w:p>
            <w:r>
              <w:t>-5.9%（03-09）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  <w:tr>
        <w:tc>
          <w:tcPr>
            <w:tcW w:type="dxa" w:w="1290"/>
          </w:tcPr>
          <w:p>
            <w:r>
              <w:t>2026-06 跳空（資料辨識）</w:t>
            </w:r>
          </w:p>
        </w:tc>
        <w:tc>
          <w:tcPr>
            <w:tcW w:type="dxa" w:w="1290"/>
          </w:tcPr>
          <w:p>
            <w:r>
              <w:t>21</w:t>
            </w:r>
          </w:p>
        </w:tc>
        <w:tc>
          <w:tcPr>
            <w:tcW w:type="dxa" w:w="1290"/>
          </w:tcPr>
          <w:p>
            <w:r>
              <w:t>空手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0</w:t>
            </w:r>
          </w:p>
        </w:tc>
        <w:tc>
          <w:tcPr>
            <w:tcW w:type="dxa" w:w="1290"/>
          </w:tcPr>
          <w:p>
            <w:r>
              <w:t>272,334</w:t>
            </w:r>
          </w:p>
        </w:tc>
        <w:tc>
          <w:tcPr>
            <w:tcW w:type="dxa" w:w="1290"/>
          </w:tcPr>
          <w:p>
            <w:r>
              <w:t>-6.3%（06-08）</w:t>
            </w:r>
          </w:p>
        </w:tc>
        <w:tc>
          <w:tcPr>
            <w:tcW w:type="dxa" w:w="1290"/>
          </w:tcPr>
          <w:p>
            <w:r>
              <w:t>否</w:t>
            </w:r>
          </w:p>
        </w:tc>
      </w:tr>
    </w:tbl>
    <w:p>
      <w:r>
        <w:t>事件日期以公開重大事件為起點、由行情日曆截取；末兩段以樣本內最深單日跳空由資料辨識，均未回饋到規則。8個視窗中8個在最深跳空日為空手：急跌前價格多已跌破MA20或Q20轉負而退出，策略是「不在場」而非預知事件，同一機制也使其在反彈初期缺席（錯過幅度與最差單日見伍）。</w:t>
      </w:r>
    </w:p>
    <w:p>
      <w:pPr>
        <w:pStyle w:val="Heading1"/>
        <w:pageBreakBefore/>
      </w:pPr>
      <w:r>
        <w:t>伍、策略極限與檢討</w:t>
      </w:r>
    </w:p>
    <w:p>
      <w:r>
        <w:t>一、法人交易指標的解釋限制</w:t>
      </w:r>
    </w:p>
    <w:p>
      <w:r>
        <w:t>本研究的交易強度衡量三大法人的當日淨成交流量，而非收盤後仍持有的未平倉部位。以多空交易總口數作為分母，可降低不同交易活躍程度對原始淨口數的影響；然而三類法人交易同時可能包含方向投資、股票與選擇權避險、套利及造市活動，因此公開彙總資料無法識別各機構的實際交易動機。[2]</w:t>
      </w:r>
    </w:p>
    <w:p>
      <w:r>
        <w:t>20日平均用於降低單日成交流量雜訊，再以價格高於20日均線作為趨勢確認。回測中較高的Sharpe僅代表此規則在目前樣本中的歷史風險調整績效；由於策略採多單／空手架構，績效同時受到長期多頭趨勢與隔夜報酬影響，不能將全部成果歸因於法人資訊優勢。</w:t>
      </w:r>
    </w:p>
    <w:p>
      <w:r>
        <w:t>固定一口Buy-and-Hold的MDD 28.64%高於策略的12.72%，但其年化波動19.03%亦遠高於策略的8.84%；縮放至約0.293口的配平基準Sharpe為1.120、MDD為13.67%（見肆續表），這只控制風險尺度，小數口並非可直接交易的部位。</w:t>
      </w:r>
    </w:p>
    <w:p>
      <w:r>
        <w:t>逐筆比對兩份法人來源共6,090筆，其中2筆在2026/07/06不同，造成20個交易日的Q20變化，但本樣本0天訊號改變。歷史逐日初次發布快照與修訂軌跡未留存，故不能聲稱全期資料時點已獨立驗證。</w:t>
      </w:r>
    </w:p>
    <w:p>
      <w:r>
        <w:t>近月未調整價格均線有換月價差敏感度：以前一日兩契約收盤重疊價差調整訊號後，14天訊號不同，淨利3,028,972.77元、Sharpe 1.245；正式策略為3,277,536.58元、1.367。此項診斷只變更訊號，實際成交仍按原契約。</w:t>
      </w:r>
    </w:p>
    <w:p>
      <w:r>
        <w:t>價格單獨策略按完整樣本事後配平至相同年波動的TX-equivalent為0.437，淨利2,108,818.45元、Sharpe 1.020；策略為3,277,536.58元、1.367。這是風險尺度與曝險差異的描述，配平小數口不能直接交易，亦非樣本外證據。</w:t>
      </w:r>
    </w:p>
    <w:p>
      <w:r>
        <w:t>二、盤整與快速反轉環境</w:t>
      </w:r>
    </w:p>
    <w:p>
      <w:r>
        <w:t>在盤整、急漲急跌或V形反轉環境中，20日平均具有滯後性，價格亦可能在MA20附近反覆穿越。當條件短暫失效後退出、再度成立後重新進場，可能造成追價、較低價格退出或錯失快速反彈。雙條件一致仍可能漏接行情或反覆進出。</w:t>
      </w:r>
    </w:p>
    <w:p>
      <w:r>
        <w:t>本回測未加入事後最佳化的固定點數停損。現有資料僅含日盤OHLC，缺乏完整夜盤價格路徑、委託排隊及極端行情成交資訊，因此若加入盤中觸價停損，將引入無法可靠驗證的成交假設。策略僅依訊號消退、轉倉與期末清算執行出場。</w:t>
      </w:r>
    </w:p>
    <w:p>
      <w:r>
        <w:t>三、隔夜跳空與流動性風險</w:t>
      </w:r>
    </w:p>
    <w:p>
      <w:r>
        <w:t>本策略實際持有隔夜部位，因此海外市場、匯率與突發事件可能在臺指期日盤重新開市前改變價格。即使隔日日盤開盤已產生退出需求，仍須承受前一日收盤至下一交易日開盤的跳空風險；若開盤流動性不足，實際成交損失亦可能高於固定2點滑價假設。</w:t>
      </w:r>
    </w:p>
    <w:p>
      <w:r>
        <w:t>特殊期間表顯示策略在8個急跌視窗中有8個於最深跳空日為空手，這來自雙條件在下跌初期即退出，而非對事件的預測；代價是反彈初期缺席：從最深跳空日到重新進場，中位數需16個交易日，期間近月平均已回升5.5%，2024-08 全球急跌更達16.4%。樣本內三個最差單日為2026/04/02（進場日，-238,385元）、2026/07/07（持倉日，-222,200元）、2026/05/19（進場日，-130,236元），均發生在快速反轉時的進場或持倉日，跳空風險集中於重新進場後而非持倉中段。因此12.72%的日末MDD不應解讀為單筆交易或盤中可能遭受的最大損失；共同起始資金並未重建歷史保證金與追繳，評估實際可行性仍需納入夜盤價格、盤中極端波動、開盤成交品質與逐日保證金需求。</w:t>
      </w:r>
    </w:p>
    <w:p>
      <w:pPr>
        <w:pStyle w:val="Heading1"/>
        <w:pageBreakBefore/>
      </w:pPr>
      <w:r>
        <w:t>陸、結論與後續驗證</w:t>
      </w:r>
    </w:p>
    <w:p>
      <w:r>
        <w:t>一、績效結論</w:t>
      </w:r>
    </w:p>
    <w:p>
      <w:r>
        <w:t>以2,195,000.00元建立兩條權益曲線，逐日累加淨損益後，策略Sharpe為1.367、Calmar為0.939，固定一口Buy-and-Hold為1.147與0.743；策略MDD為12.72%，基準為28.64%。策略累積報酬149.32%低於基準376.69%。固定一口比較仍有持倉時間差異：策略持倉日約為基準三分之一。</w:t>
      </w:r>
    </w:p>
    <w:p>
      <w:r>
        <w:t>將 benchmark 事後縮放至與策略相同的8.84%年化波動後，配平 benchmark 的Sharpe為1.120、MDD為13.67%、Calmar為0.703；策略分別為1.367、12.72%與0.939。策略在同風險尺度下仍較佳，但配平係數使用完整樣本且為小數口，只是診斷，不是可部署的交易基準。</w:t>
      </w:r>
    </w:p>
    <w:p>
      <w:r>
        <w:t>策略最長回撤期間為482個交易日，高於基準的366日，顯示較低回撤幅度不等同於較短的資金恢復時間。勝率約51.70%、Profit Factor約2.197，績效並非依賴高勝率，而較依賴部分趨勢延續期間的較大獲利；前五筆交易與近兩年績效占比較高，亦顯示成果存在集中性。</w:t>
      </w:r>
    </w:p>
    <w:p>
      <w:r>
        <w:t>加權指數價格報酬為350.40%、MDD 31.63%，但未含股息或追蹤成本，僅作市場參考。</w:t>
      </w:r>
    </w:p>
    <w:p>
      <w:r>
        <w:t>二、樣本選擇偏誤與驗證要求</w:t>
      </w:r>
    </w:p>
    <w:p>
      <w:r>
        <w:t>本策略由18個候選規則比較後選出，並非在完全未觀察資料的情況下事先固定。因此，即使滑價敏感度與時間分組結果仍為正，也不能視為獨立樣本外證據。目前的Sharpe可能包含策略挑選造成的選擇偏誤，應在解讀績效時明確納入。</w:t>
      </w:r>
    </w:p>
    <w:p>
      <w:r>
        <w:t>後續驗證應先凍結20日交易強度、20日價格均線、零門檻及成本假設，再以未參與策略設計的新資料進行樣本外檢驗。若進一步測試結算日排除、均線參數或停損規則，應事前限定假說與參數範圍，並完整報告所有結果，以降低多重嘗試造成的偏誤。</w:t>
      </w:r>
    </w:p>
    <w:p>
      <w:r>
        <w:t>綜合而言，策略規則可追溯且歷史成本後報酬為正，但同期大盤與TX買進持有累積報酬均較高；策略持倉較少且回撤較低，未能據此認定法人訊號創造穩定超額報酬。仍須完成獨立樣本外驗證、夜盤與盤中風險及資料發布時點檢查。</w:t>
      </w:r>
    </w:p>
    <w:p>
      <w:r>
        <w:t>三、資料來源與計算口徑</w:t>
      </w:r>
    </w:p>
    <w:p>
      <w:r>
        <w:t>[1] 臺灣期貨交易所，臺股期貨契約規格：https://www.taifex.com.tw/cht/2/tX</w:t>
        <w:br/>
        <w:t>[2] 臺灣期貨交易所，三大法人交易資訊：https://www.taifex.com.tw/cht/3/futContractsDateView</w:t>
        <w:br/>
        <w:t>[3] 臺灣期貨交易所，費率表：https://www.taifex.com.tw/cht/4/feeSchedules</w:t>
        <w:br/>
        <w:t>歷史行情：https://www.taifex.com.tw/cht/3/dlFutDailyMarketView</w:t>
        <w:br/>
        <w:t>FinMind：https://finmind.github.io/tutor/TaiwanMarket/Derivative/</w:t>
        <w:br/>
        <w:t>加權指數：臺灣證券交易所每日市場成交資訊與發行量加權股價指數歷史資料，來源與雜湊見source_audits/taiex_sources.json。</w:t>
      </w:r>
    </w:p>
    <w:p>
      <w:r>
        <w:t>Sharpe＝日報酬平均／日報酬樣本標準差×√252；Calmar＝CAGR／最大回撤比例。權益曲線以首日一口TX開盤名目價值起算，逐日累加淨損益，MDD取曲線相對歷史高點的最大跌幅；風險配平 benchmark 僅作同風險尺度診斷。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Noto Sans TC" w:hAnsi="Noto Sans TC" w:eastAsia="Noto Sans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