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排放之溫室氣體種類主要有二氧化碳(CO2)、氧化亞氮(N2O)、甲烷(CH4)及氫氟碳化物(HFCs)四類。其中，二氧化碳(CO2)排放主要來自消防設施（滅火器）、清潔設備（洗地機）、其他發電引擎（緊急發電機）及外購電力，甲烷(CH4)的排放來自化糞池、清潔設備（洗地機）及其他發電引擎(緊急發電機)，氧化亞氮(N2O) 排放來自清潔設備（洗地機）和其他發電引擎（緊急發電機），氫氟碳化物(HFCs)的排放來自廠區內消防設施（滅火器）、各式冰水機（冰水主機）、飲水機及冷氣機的冷媒逸散。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表3-2、亞東科技大學能源間接溫室氣體排放源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經盤查，本校113年度溫室氣體總排放量為244.774公噸CO2e。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設備代碼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