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製程排放：校區內並無製程紀錄，本項次無對應活動數據，故無對應之盤查結果可供揭露。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本公司各排放源之量化公式與活動數據蒐集方式彙整如表4-10所示。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(電號：01-18-2933-11-6、01-18-2931-11-4、01-18-2931-01-2)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量化方法改變時，本校除以新的量化計算方式計算外，並需與原來之計算方式做一比較，並說明二者之差異及選用新方法的理由。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有關本校溫室氣體盤查作業之有效位數設定，係參考環境部公告「國家溫室氣體登錄平台運算方式第5版」之建議進行，採四捨五入取到小數點後三位。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校進行的溫室氣體盤查結果，總排放量為244.774公噸。其中，範疇二的外購電力排放量為1941.3108公噸，占總排放量的80.79%。相比之下，範疇一的排放量為47.0206公噸，占總排放量的19.21%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本校未有乙炔、焊條及其他與製程相關油品或氣體使用紀錄。本校無半導體製程，故無全氟碳化物(PFCs)、六氟化硫(SF6)及三氟化氮(NF3)氣體逸散。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