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360" w:after="240" w:line="240" w:lineRule="auto"/>
        <w:jc w:val="center"/>
      </w:pPr>
      <w:r>
        <w:rPr>
          <w:rFonts w:ascii="Times New Roman" w:hAnsi="Times New Roman" w:eastAsia="標楷體"/>
          <w:color w:val="000000"/>
          <w:sz w:val="36"/>
        </w:rPr>
        <w:t>第一章、本校簡介與政策聲明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1.1 前言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創校迄今，歷任校長遵循創辦人創校職志，經營擘畫，積極發揚「誠、勤、樸、慎、創新」精神形成優良校風，並秉持「創意、務實、宏觀、合作、溝通、熱忱」的教育理念，以科技與人文融匯、創新與品質並重、專業與通識兼顧、理論與實務結合為主軸，發展為實務化、資訊化、人文化、創新化、國際化的高等學府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為提供學生多元學習，整合相關學術資源，本校特成立電通、工程、醫護暨管理三大學院，藉由各學系的合作、因應產業需求，開設相關學程，讓學生透過跨領域學習，提升專業知能與職場競爭力。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本校積極提升教學、研究、輔導與服務外，並與遠傳、新世紀資通、遠東新世紀、亞東醫院等遠東集團產學合作，成果斐然，已成為技職教育新典範。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1.2 簡介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亞東科技大學於民國五十七年十月，在遠東集團創辦人徐有庠先生的「弘文明德，育才興國」理念下創設，初名「私立亞東工業技藝專科學校」，為全國第一所私立二年制專科學校，六十二年六月奉准正名為「私立亞東工業專科學校」，八十九學年度獲教育部核定改制為「亞東技術學院」，一一Ｏ學年度改名為「亞東學校財團法人亞東科技大學」。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本校教職員生人數4,397人(資料時間2024年)其中學生3,931人，教職員工451人。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表1、學校場所資料表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6E2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學校名稱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亞東科技大學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6E2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校長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黃茂全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6E2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教職員生總人數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4,397人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6E2FF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學校地址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標楷體"/>
                <w:sz w:val="22"/>
              </w:rPr>
              <w:t>新北市板橋區四川路二段58號</w:t>
            </w:r>
          </w:p>
        </w:tc>
      </w:tr>
    </w:tbl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1.3 組織及架構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【請放置組織架構圖】</w:t>
      </w:r>
    </w:p>
    <w:p>
      <w:pPr>
        <w:spacing w:before="240" w:after="0" w:line="240" w:lineRule="auto"/>
        <w:jc w:val="center"/>
      </w:pPr>
      <w:r>
        <w:rPr>
          <w:rFonts w:ascii="Times New Roman" w:hAnsi="Times New Roman" w:eastAsia="標楷體"/>
          <w:sz w:val="20"/>
        </w:rPr>
        <w:t>圖一、亞東科技大學組織架構圖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1.4 報告書涵蓋期間與責任/有效期間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1.4.1 報告書涵蓋期間與責任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本報告書之盤查內容是以2024年度於板橋校區（以下均稱本校）組織邊界範圍內產生之所有溫室氣體為盤查範圍，並供作下年度新報告書完成前引用。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1.4.2 本報告書為隔年1月時開始進行前一年度之溫室氣體排放量之各項盤查工作，並於2月開始報告書之內容製作，其涵蓋前一年本校之溫室氣體排放總結，供作本年度及下年度新報告書完成前引用。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1.4.3 報告書完成後，經過年度內部諮詢之程序，並修正缺失後，完成本報告書。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1.4.4 本報告書盤查範圍只限於本校區營運範圍之總溫室氣體之排放量，本校之組織營運範圍，若有變動時，本報告書將一併進行修正並重新發行。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1.5 宣告本盤查報告書製作之依據</w:t>
      </w:r>
    </w:p>
    <w:p>
      <w:pPr>
        <w:spacing w:before="0" w:after="120" w:lineRule="auto" w:line="276"/>
        <w:ind w:firstLine="480"/>
      </w:pPr>
      <w:r>
        <w:rPr>
          <w:rFonts w:ascii="Times New Roman" w:hAnsi="Times New Roman" w:eastAsia="標楷體"/>
          <w:sz w:val="24"/>
        </w:rPr>
        <w:t>本報告書乃根據 ISO 14064-1：2018（CNS 14064-1：2022）進行盤查與計算。</w:t>
      </w:r>
    </w:p>
    <w:p>
      <w:pPr>
        <w:pStyle w:val="Heading2"/>
        <w:spacing w:before="240" w:after="240" w:line="240" w:lineRule="auto"/>
      </w:pPr>
      <w:r>
        <w:rPr>
          <w:rFonts w:ascii="Times New Roman" w:hAnsi="Times New Roman" w:eastAsia="標楷體"/>
          <w:color w:val="000000"/>
          <w:sz w:val="32"/>
        </w:rPr>
        <w:t>1.6 本盤查報告書製作目的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1.6.1 展現本校溫室氣體盤查結果。</w:t>
      </w:r>
    </w:p>
    <w:p>
      <w:pPr>
        <w:spacing w:before="0" w:after="120" w:lineRule="auto" w:line="276"/>
      </w:pPr>
      <w:r>
        <w:rPr>
          <w:rFonts w:ascii="Times New Roman" w:hAnsi="Times New Roman" w:eastAsia="標楷體"/>
          <w:sz w:val="24"/>
        </w:rPr>
        <w:t>1.6.2 妥當紀錄本校溫室氣體排放清冊，以利社會責任標準查證之需求。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