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开源项目聚类与学习：</w:t>
      </w:r>
    </w:p>
    <w:p>
      <w:pPr>
        <w:numPr>
          <w:ilvl w:val="0"/>
          <w:numId w:val="1"/>
        </w:numPr>
        <w:rPr>
          <w:rFonts w:hint="eastAsia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数据建模，特征提取。（***）</w:t>
      </w:r>
    </w:p>
    <w:p>
      <w:pPr>
        <w:numPr>
          <w:numId w:val="0"/>
        </w:numPr>
        <w:rPr>
          <w:rFonts w:hint="eastAsia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可用的特征：</w:t>
      </w:r>
    </w:p>
    <w:p>
      <w:pPr>
        <w:numPr>
          <w:numId w:val="0"/>
        </w:numPr>
        <w:rPr>
          <w:rFonts w:hint="default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连续特征：repo_name, repo_description, issue_body等</w:t>
      </w:r>
    </w:p>
    <w:p>
      <w:pPr>
        <w:numPr>
          <w:numId w:val="0"/>
        </w:numPr>
        <w:rPr>
          <w:rFonts w:hint="default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离散特征：repo_language等</w:t>
      </w:r>
    </w:p>
    <w:p>
      <w:pPr>
        <w:numPr>
          <w:numId w:val="0"/>
        </w:numPr>
        <w:rPr>
          <w:rFonts w:hint="default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如何辨别有效的信息？</w:t>
      </w:r>
    </w:p>
    <w:p>
      <w:pPr>
        <w:numPr>
          <w:numId w:val="0"/>
        </w:numPr>
        <w:rPr>
          <w:rFonts w:hint="eastAsia"/>
          <w:i w:val="0"/>
          <w:i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i w:val="0"/>
          <w:i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距离定义，聚类方法：（**）</w:t>
      </w:r>
    </w:p>
    <w:p>
      <w:pPr>
        <w:numPr>
          <w:numId w:val="0"/>
        </w:numPr>
        <w:ind w:leftChars="0"/>
        <w:rPr>
          <w:rFonts w:hint="default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连续特征：欧式距离</w:t>
      </w:r>
      <m:oMath>
        <m:sSub>
          <m:sSubPr>
            <m:ctrlPr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ij</m:t>
            </m:r>
            <m:ctrlPr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/>
          <w:i w:val="0"/>
          <w:iCs/>
          <w:sz w:val="28"/>
          <w:szCs w:val="28"/>
          <w:lang w:val="en-US" w:eastAsia="zh-CN"/>
        </w:rPr>
        <w:t xml:space="preserve"> ?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iCs/>
          <w:sz w:val="28"/>
          <w:szCs w:val="28"/>
          <w:lang w:val="en-US" w:eastAsia="zh-CN"/>
        </w:rPr>
      </w:pPr>
      <w:r>
        <w:rPr>
          <w:rFonts w:hint="eastAsia"/>
          <w:i w:val="0"/>
          <w:iCs/>
          <w:sz w:val="28"/>
          <w:szCs w:val="28"/>
          <w:lang w:val="en-US" w:eastAsia="zh-CN"/>
        </w:rPr>
        <w:t>离散特征：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>=</m:t>
        </m:r>
        <m:d>
          <m:dPr>
            <m:begChr m:val="{"/>
            <m:endChr m:val=""/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m:rPr/>
                  <w:rPr>
                    <w:rFonts w:hint="default" w:ascii="Cambria Math" w:hAnsi="Cambria Math"/>
                    <w:i/>
                    <w:iCs/>
                    <w:sz w:val="28"/>
                    <w:szCs w:val="28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0  (</m:t>
                </m:r>
                <m:sSub>
                  <m:sSubP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i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 xml:space="preserve"> 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</m:t>
                </m:r>
                <m:sSub>
                  <m:sSubP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j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)</m:t>
                </m:r>
                <m:ctrlPr>
                  <m:rPr/>
                  <w:rPr>
                    <w:rFonts w:hint="default" w:ascii="Cambria Math" w:hAnsi="Cambria Math"/>
                    <w:i/>
                    <w:iCs/>
                    <w:sz w:val="28"/>
                    <w:szCs w:val="28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1 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 xml:space="preserve"> =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  <w:sz w:val="28"/>
                        <w:szCs w:val="28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 w:eastAsia="zh-CN"/>
                  </w:rPr>
                  <m:t>)</m:t>
                </m:r>
                <m:ctrlPr>
                  <m:rPr/>
                  <w:rPr>
                    <w:rFonts w:hint="default" w:ascii="Cambria Math" w:hAnsi="Cambria Math"/>
                    <w:i/>
                    <w:iCs/>
                    <w:sz w:val="28"/>
                    <w:szCs w:val="28"/>
                    <w:lang w:val="en-US" w:eastAsia="zh-CN"/>
                  </w:rPr>
                </m:ctrlPr>
              </m:e>
            </m:eqAr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</m:d>
      </m:oMath>
      <w:r>
        <m:rPr/>
        <w:rPr>
          <w:rFonts w:hint="eastAsia" w:hAnsi="Cambria Math"/>
          <w:i w:val="0"/>
          <w:iCs/>
          <w:sz w:val="28"/>
          <w:szCs w:val="28"/>
          <w:lang w:val="en-US" w:eastAsia="zh-CN"/>
        </w:rPr>
        <w:t xml:space="preserve"> ?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iCs/>
          <w:sz w:val="28"/>
          <w:szCs w:val="28"/>
          <w:lang w:val="en-US" w:eastAsia="zh-CN"/>
        </w:rPr>
      </w:pPr>
      <w:r>
        <m:rPr/>
        <w:rPr>
          <w:rFonts w:hint="eastAsia" w:hAnsi="Cambria Math"/>
          <w:i w:val="0"/>
          <w:iCs/>
          <w:sz w:val="28"/>
          <w:szCs w:val="28"/>
          <w:lang w:val="en-US" w:eastAsia="zh-CN"/>
        </w:rPr>
        <w:t>混合距离：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 xml:space="preserve"> = </m:t>
        </m:r>
        <m:sSub>
          <m:sSubP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w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ub>
        </m:sSub>
        <m:sSub>
          <m:sSubP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c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ij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 w:eastAsia="zh-CN"/>
          </w:rPr>
          <m:t xml:space="preserve"> + </m:t>
        </m:r>
        <m:sSub>
          <m:sSubP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w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ub>
        </m:sSub>
        <m:sSub>
          <m:sSubP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d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ij</m:t>
            </m:r>
            <m:ctrlPr>
              <m:rPr/>
              <w:rPr>
                <w:rFonts w:hint="default" w:ascii="Cambria Math" w:hAnsi="Cambria Math"/>
                <w:i/>
                <w:iCs/>
                <w:sz w:val="28"/>
                <w:szCs w:val="28"/>
                <w:lang w:val="en-US" w:eastAsia="zh-CN"/>
              </w:rPr>
            </m:ctrlPr>
          </m:sub>
        </m:sSub>
      </m:oMath>
      <w:r>
        <m:rPr/>
        <w:rPr>
          <w:rFonts w:hint="eastAsia" w:hAnsi="Cambria Math"/>
          <w:i w:val="0"/>
          <w:iCs/>
          <w:sz w:val="28"/>
          <w:szCs w:val="28"/>
          <w:lang w:val="en-US" w:eastAsia="zh-CN"/>
        </w:rPr>
        <w:t xml:space="preserve"> ?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i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m:rPr/>
        <w:rPr>
          <w:rFonts w:hint="default" w:hAnsi="Cambria Math"/>
          <w:i w:val="0"/>
          <w:iCs/>
          <w:sz w:val="28"/>
          <w:szCs w:val="28"/>
          <w:lang w:val="en-US" w:eastAsia="zh-CN"/>
        </w:rPr>
      </w:pPr>
      <w:r>
        <m:rPr/>
        <w:rPr>
          <w:rFonts w:hint="eastAsia" w:hAnsi="Cambria Math"/>
          <w:i w:val="0"/>
          <w:iCs/>
          <w:sz w:val="28"/>
          <w:szCs w:val="28"/>
          <w:lang w:val="en-US" w:eastAsia="zh-CN"/>
        </w:rPr>
        <w:t>学习（*）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iCs/>
          <w:sz w:val="28"/>
          <w:szCs w:val="28"/>
          <w:lang w:val="en-US" w:eastAsia="zh-CN"/>
        </w:rPr>
      </w:pPr>
      <w:r>
        <m:rPr/>
        <w:rPr>
          <w:rFonts w:hint="eastAsia" w:hAnsi="Cambria Math"/>
          <w:i w:val="0"/>
          <w:iCs/>
          <w:sz w:val="28"/>
          <w:szCs w:val="28"/>
          <w:lang w:val="en-US" w:eastAsia="zh-CN"/>
        </w:rPr>
        <w:t>何种模型？混合特征还能用</w:t>
      </w:r>
      <w:r>
        <w:rPr>
          <w:rFonts w:hint="eastAsia" w:hAnsi="Cambria Math"/>
          <w:i w:val="0"/>
          <w:iCs/>
          <w:sz w:val="28"/>
          <w:szCs w:val="28"/>
          <w:lang w:val="en-US" w:eastAsia="zh-CN"/>
        </w:rPr>
        <w:t>MLP or textCNN吗?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1A2C0"/>
    <w:multiLevelType w:val="singleLevel"/>
    <w:tmpl w:val="6541A2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1686"/>
    <w:rsid w:val="05441364"/>
    <w:rsid w:val="0FFA48E8"/>
    <w:rsid w:val="30BD1FAB"/>
    <w:rsid w:val="36B25678"/>
    <w:rsid w:val="372E2A70"/>
    <w:rsid w:val="3E680564"/>
    <w:rsid w:val="43EA3EED"/>
    <w:rsid w:val="51C83F98"/>
    <w:rsid w:val="5AB7635F"/>
    <w:rsid w:val="673E3FAE"/>
    <w:rsid w:val="6AE456AC"/>
    <w:rsid w:val="77F95545"/>
    <w:rsid w:val="7A146A9E"/>
    <w:rsid w:val="7C9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i/>
      <w:kern w:val="2"/>
      <w:sz w:val="27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232</Characters>
  <Lines>0</Lines>
  <Paragraphs>0</Paragraphs>
  <TotalTime>2</TotalTime>
  <ScaleCrop>false</ScaleCrop>
  <LinksUpToDate>false</LinksUpToDate>
  <CharactersWithSpaces>248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2021-05-13T10:45:00Z</dcterms:created>
  <dc:creator>timberflow</dc:creator>
  <cp:lastModifiedBy>越林医师</cp:lastModifiedBy>
  <dcterms:modified xsi:type="dcterms:W3CDTF">2022-03-30T14:26:18Z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6ECC29411B9E4312A6218BEE57E2B353</vt:lpwstr>
  </property>
</Properties>
</file>