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工作总结</w:t>
      </w:r>
    </w:p>
    <w:sdt>
      <w:sdtP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id w:val="147467712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kern w:val="2"/>
          <w:sz w:val="21"/>
          <w:szCs w:val="44"/>
          <w:lang w:val="en-US" w:eastAsia="zh-CN" w:bidi="ar-SA"/>
        </w:rPr>
      </w:sdtEndPr>
      <w:sdtContent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textAlignment w:val="auto"/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t>目录</w:t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instrText xml:space="preserve"> HYPERLINK \l _Toc15423 </w:instrText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一、 引言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_Toc15423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2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instrText xml:space="preserve"> HYPERLINK \l _Toc22249 </w:instrText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1. 编写目的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_Toc22249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2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instrText xml:space="preserve"> HYPERLINK \l _Toc25898 </w:instrText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2. 项目背景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_Toc25898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2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instrText xml:space="preserve"> HYPERLINK \l _Toc4759 </w:instrText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3. 参考资料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_Toc4759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2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instrText xml:space="preserve"> HYPERLINK \l _Toc26866 </w:instrText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二、 开发结果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_Toc26866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2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instrText xml:space="preserve"> HYPERLINK \l _Toc21616 </w:instrText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1． 产品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_Toc21616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2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instrText xml:space="preserve"> HYPERLINK \l _Toc26358 </w:instrText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2． 主要功能：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_Toc26358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3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instrText xml:space="preserve"> HYPERLINK \l _Toc3670 </w:instrText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三、 评价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_Toc3670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4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instrText xml:space="preserve"> HYPERLINK \l _Toc8587 </w:instrText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1. 技术方案评价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_Toc8587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4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instrText xml:space="preserve"> HYPERLINK \l _Toc6493 </w:instrText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2. 产品质量评价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_Toc6493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4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instrText xml:space="preserve"> HYPERLINK \l _Toc30018 </w:instrText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四、 总结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_Toc30018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5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left"/>
            <w:textAlignment w:val="auto"/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</w:pP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left"/>
            <w:textAlignment w:val="auto"/>
            <w:rPr>
              <w:rFonts w:hint="eastAsia" w:ascii="黑体" w:hAnsi="黑体" w:eastAsia="黑体" w:cs="黑体"/>
              <w:kern w:val="2"/>
              <w:sz w:val="21"/>
              <w:szCs w:val="44"/>
              <w:lang w:val="en-US" w:eastAsia="zh-CN" w:bidi="ar-SA"/>
            </w:rPr>
          </w:pPr>
        </w:p>
        <w:p>
          <w:pPr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left"/>
            <w:textAlignment w:val="auto"/>
            <w:rPr>
              <w:rFonts w:hint="eastAsia" w:ascii="黑体" w:hAnsi="黑体" w:eastAsia="黑体" w:cs="黑体"/>
              <w:kern w:val="2"/>
              <w:sz w:val="21"/>
              <w:szCs w:val="44"/>
              <w:lang w:val="en-US" w:eastAsia="zh-CN" w:bidi="ar-SA"/>
            </w:rPr>
          </w:pPr>
        </w:p>
        <w:p>
          <w:pPr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left"/>
            <w:textAlignment w:val="auto"/>
            <w:rPr>
              <w:rFonts w:hint="eastAsia" w:ascii="黑体" w:hAnsi="黑体" w:eastAsia="黑体" w:cs="黑体"/>
              <w:kern w:val="2"/>
              <w:sz w:val="21"/>
              <w:szCs w:val="44"/>
              <w:lang w:val="en-US" w:eastAsia="zh-CN" w:bidi="ar-SA"/>
            </w:rPr>
          </w:pPr>
        </w:p>
        <w:p>
          <w:pPr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left"/>
            <w:textAlignment w:val="auto"/>
            <w:rPr>
              <w:rFonts w:hint="eastAsia" w:ascii="黑体" w:hAnsi="黑体" w:eastAsia="黑体" w:cs="黑体"/>
              <w:kern w:val="2"/>
              <w:sz w:val="21"/>
              <w:szCs w:val="44"/>
              <w:lang w:val="en-US" w:eastAsia="zh-CN" w:bidi="ar-SA"/>
            </w:rPr>
          </w:pPr>
        </w:p>
        <w:p>
          <w:pPr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left"/>
            <w:textAlignment w:val="auto"/>
            <w:rPr>
              <w:rFonts w:hint="eastAsia" w:ascii="黑体" w:hAnsi="黑体" w:eastAsia="黑体" w:cs="黑体"/>
              <w:kern w:val="2"/>
              <w:sz w:val="21"/>
              <w:szCs w:val="44"/>
              <w:lang w:val="en-US" w:eastAsia="zh-CN" w:bidi="ar-SA"/>
            </w:rPr>
          </w:pPr>
        </w:p>
        <w:p>
          <w:pPr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left"/>
            <w:textAlignment w:val="auto"/>
            <w:rPr>
              <w:rFonts w:hint="eastAsia" w:ascii="黑体" w:hAnsi="黑体" w:eastAsia="黑体" w:cs="黑体"/>
              <w:sz w:val="44"/>
              <w:szCs w:val="44"/>
              <w:lang w:val="en-US" w:eastAsia="zh-CN"/>
            </w:rPr>
          </w:pPr>
        </w:p>
      </w:sdtContent>
    </w:sdt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0" w:name="_Toc14326"/>
      <w:bookmarkStart w:id="1" w:name="_Toc15423"/>
      <w:r>
        <w:rPr>
          <w:rFonts w:hint="eastAsia"/>
          <w:lang w:val="en-US" w:eastAsia="zh-CN"/>
        </w:rPr>
        <w:t>引言</w:t>
      </w:r>
      <w:bookmarkEnd w:id="0"/>
      <w:bookmarkEnd w:id="1"/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2" w:name="_Toc29797"/>
      <w:bookmarkStart w:id="3" w:name="_Toc22249"/>
      <w:r>
        <w:rPr>
          <w:rFonts w:hint="eastAsia"/>
          <w:lang w:val="en-US" w:eastAsia="zh-CN"/>
        </w:rPr>
        <w:t>编写目的</w:t>
      </w:r>
      <w:bookmarkEnd w:id="2"/>
      <w:bookmarkEnd w:id="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本项目开发总结报告，主要是总结本软件的开发经验和总结所学到的知识，以及对一个系统的大型的软件的设计的总体感悟，并将软件设计过程中遇到的问题加以阐述和说明。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读者对象：开发人员、大赛评委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4" w:name="_Toc25898"/>
      <w:bookmarkStart w:id="5" w:name="_Toc7233"/>
      <w:r>
        <w:rPr>
          <w:rFonts w:hint="eastAsia"/>
          <w:lang w:val="en-US" w:eastAsia="zh-CN"/>
        </w:rPr>
        <w:t>项目背景</w:t>
      </w:r>
      <w:bookmarkEnd w:id="4"/>
      <w:bookmarkEnd w:id="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系统名称：</w:t>
      </w:r>
      <w:r>
        <w:rPr>
          <w:rFonts w:hint="eastAsia" w:ascii="宋体" w:hAnsi="宋体" w:eastAsia="宋体" w:cs="宋体"/>
          <w:sz w:val="24"/>
          <w:szCs w:val="24"/>
        </w:rPr>
        <w:t>基于智能移动端的校园数据展示与分析平台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任务提出者：山东省软件设计大赛委员组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开发者：张俊浩、李壮壮、杨航宇、张起睿、王鑫睿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面向用户：高校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开发时间：2020年8月18号到2020年9月25号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该软件运行系统：电脑端web,智能手机端web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6" w:name="_Toc14945"/>
      <w:bookmarkStart w:id="7" w:name="_Toc4759"/>
      <w:r>
        <w:rPr>
          <w:rFonts w:hint="eastAsia"/>
          <w:lang w:val="en-US" w:eastAsia="zh-CN"/>
        </w:rPr>
        <w:t>参考资料</w:t>
      </w:r>
      <w:bookmarkEnd w:id="6"/>
      <w:bookmarkEnd w:id="7"/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软件项目开发总结报告书（gb856t-88）国家标准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山东软件设计大赛相关要求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互联网上的各类相关资料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8" w:name="_Toc22359"/>
      <w:bookmarkStart w:id="9" w:name="_Toc26866"/>
      <w:r>
        <w:rPr>
          <w:rFonts w:hint="eastAsia"/>
          <w:lang w:val="en-US" w:eastAsia="zh-CN"/>
        </w:rPr>
        <w:t>开发结果</w:t>
      </w:r>
      <w:bookmarkEnd w:id="8"/>
      <w:bookmarkEnd w:id="9"/>
    </w:p>
    <w:p>
      <w:pPr>
        <w:pStyle w:val="4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10" w:name="_Toc12580"/>
      <w:bookmarkStart w:id="11" w:name="_Toc21616"/>
      <w:r>
        <w:rPr>
          <w:rFonts w:hint="eastAsia"/>
          <w:lang w:val="en-US" w:eastAsia="zh-CN"/>
        </w:rPr>
        <w:t>产品</w:t>
      </w:r>
      <w:bookmarkEnd w:id="10"/>
      <w:bookmarkEnd w:id="1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名称：基于智能移动端的校园数据展示与分析平台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存储媒体的形式：硬盘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产品文档名称：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软件开发文档：《需求分析说明书》、《概要设计说明书》、《数据库设计说明书》、《详细设计说明书》、《安装部署说明书》、《测试文档》、《工作计划》、《会议纪要》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产品文档：《软件使用说明书》、《演示文档》</w:t>
      </w:r>
    </w:p>
    <w:p>
      <w:pPr>
        <w:pStyle w:val="4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12" w:name="_Toc26358"/>
      <w:bookmarkStart w:id="13" w:name="_Toc3488"/>
      <w:r>
        <w:rPr>
          <w:rFonts w:hint="eastAsia"/>
          <w:lang w:val="en-US" w:eastAsia="zh-CN"/>
        </w:rPr>
        <w:t>主要功能：</w:t>
      </w:r>
      <w:bookmarkEnd w:id="12"/>
      <w:bookmarkEnd w:id="1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(1)</w:t>
      </w:r>
      <w:r>
        <w:rPr>
          <w:rFonts w:hint="eastAsia" w:ascii="宋体" w:hAnsi="宋体" w:eastAsia="宋体" w:cs="宋体"/>
          <w:sz w:val="24"/>
          <w:szCs w:val="24"/>
        </w:rPr>
        <w:t>构建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了</w:t>
      </w:r>
      <w:r>
        <w:rPr>
          <w:rFonts w:hint="eastAsia" w:ascii="宋体" w:hAnsi="宋体" w:eastAsia="宋体" w:cs="宋体"/>
          <w:sz w:val="24"/>
          <w:szCs w:val="24"/>
        </w:rPr>
        <w:t>学生生源图谱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展示功能</w:t>
      </w:r>
      <w:r>
        <w:rPr>
          <w:rFonts w:hint="eastAsia" w:ascii="宋体" w:hAnsi="宋体" w:eastAsia="宋体" w:cs="宋体"/>
          <w:sz w:val="24"/>
          <w:szCs w:val="24"/>
        </w:rPr>
        <w:t>，分为各省份生源图谱、各地市生源图谱、优秀学子生源图谱、贫困学子生源图谱。以我国地图作为图谱，将各个省份及地市的生源信息展示出来，以颜色递增来体现排名情况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同时提供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了</w:t>
      </w:r>
      <w:r>
        <w:rPr>
          <w:rFonts w:hint="eastAsia" w:ascii="宋体" w:hAnsi="宋体" w:eastAsia="宋体" w:cs="宋体"/>
          <w:sz w:val="24"/>
          <w:szCs w:val="24"/>
        </w:rPr>
        <w:t>数据视图展示。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(2)构建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学生性别统计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，分为各省份、地市男女比例和各学院男女比例，以数据视图、折线图、柱状图、堆积图和平铺等形式展示。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(3)构建学生统计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</w:t>
      </w:r>
      <w:r>
        <w:rPr>
          <w:rFonts w:hint="eastAsia" w:ascii="宋体" w:hAnsi="宋体" w:eastAsia="宋体" w:cs="宋体"/>
          <w:sz w:val="24"/>
          <w:szCs w:val="24"/>
        </w:rPr>
        <w:t>，主要展示各学院每一年级的学生数量和占比，以数据视图、折线图、柱状图、堆积图和平铺等形式展示。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(4)构建餐厅学生消费趋势统计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</w:t>
      </w:r>
      <w:r>
        <w:rPr>
          <w:rFonts w:hint="eastAsia" w:ascii="宋体" w:hAnsi="宋体" w:eastAsia="宋体" w:cs="宋体"/>
          <w:sz w:val="24"/>
          <w:szCs w:val="24"/>
        </w:rPr>
        <w:t>，分为各年级一卡通消费趋势、一卡通消费年级总计、一卡通消费性别总计、一卡通消费省份(地市)总计，以数据视图、折线图、柱状图、堆积图和平铺等形式展示。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(5)构建学霸指数图谱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展示功能</w:t>
      </w:r>
      <w:r>
        <w:rPr>
          <w:rFonts w:hint="eastAsia" w:ascii="宋体" w:hAnsi="宋体" w:eastAsia="宋体" w:cs="宋体"/>
          <w:sz w:val="24"/>
          <w:szCs w:val="24"/>
        </w:rPr>
        <w:t>，通过计算每个学生的学习情况，计算学霸指数，然后以节点的形式体现在图谱中，按照节点的大小体现学霸指数的高低。并给出“榜上有名”栏目，列出前十名的学生信息。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(6)构建招生信息展示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</w:t>
      </w:r>
      <w:r>
        <w:rPr>
          <w:rFonts w:hint="eastAsia" w:ascii="宋体" w:hAnsi="宋体" w:eastAsia="宋体" w:cs="宋体"/>
          <w:sz w:val="24"/>
          <w:szCs w:val="24"/>
        </w:rPr>
        <w:t>，省份计划招生图谱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根据招生数量颜色递增。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(7)构建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了</w:t>
      </w:r>
      <w:r>
        <w:rPr>
          <w:rFonts w:hint="eastAsia" w:ascii="宋体" w:hAnsi="宋体" w:eastAsia="宋体" w:cs="宋体"/>
          <w:sz w:val="24"/>
          <w:szCs w:val="24"/>
        </w:rPr>
        <w:t>学生就业信息统计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</w:t>
      </w:r>
      <w:r>
        <w:rPr>
          <w:rFonts w:hint="eastAsia" w:ascii="宋体" w:hAnsi="宋体" w:eastAsia="宋体" w:cs="宋体"/>
          <w:sz w:val="24"/>
          <w:szCs w:val="24"/>
        </w:rPr>
        <w:t>，分为就业地市图谱和岗位性质统计，就业地市图谱采用地图的形式展示，岗位性质分为行政、企业、事业、升学、未就业分类，按照年级、学院、专业展示就业情况，采用以数据视图、折线图、柱状图、堆积图和平铺等形式展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性能：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可靠性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在从设计、开发到使用的全过程中，为提供满足用户使用要求的高有效性，软件所采取了提高可靠性的一切措施、方法和活动。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可用性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本项目具有很高的实用性，以图表、图谱的形式将数据表示出来，用户可以直观的获取庞大的数据信息，界面简洁，操作简单，很容易上手，方面用户了解学生信息。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可维护性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维护人员可以简单的对此软件进行维护</w:t>
      </w:r>
      <w:bookmarkStart w:id="21" w:name="_GoBack"/>
      <w:bookmarkEnd w:id="21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所用时间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从开始到结束一个半月时间，实际用时两到三周。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4" w:name="_Toc1708"/>
      <w:bookmarkStart w:id="15" w:name="_Toc3670"/>
      <w:r>
        <w:rPr>
          <w:rFonts w:hint="eastAsia"/>
          <w:lang w:val="en-US" w:eastAsia="zh-CN"/>
        </w:rPr>
        <w:t>评价</w:t>
      </w:r>
      <w:bookmarkEnd w:id="14"/>
      <w:bookmarkEnd w:id="15"/>
    </w:p>
    <w:p>
      <w:pPr>
        <w:pStyle w:val="4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bookmarkStart w:id="16" w:name="_Toc19320"/>
      <w:bookmarkStart w:id="17" w:name="_Toc8587"/>
      <w:r>
        <w:rPr>
          <w:rFonts w:hint="eastAsia"/>
          <w:lang w:val="en-US" w:eastAsia="zh-CN"/>
        </w:rPr>
        <w:t>技术方案评价</w:t>
      </w:r>
      <w:bookmarkEnd w:id="16"/>
      <w:bookmarkEnd w:id="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我们小组开发的是</w:t>
      </w:r>
      <w:r>
        <w:rPr>
          <w:rFonts w:hint="eastAsia" w:ascii="宋体" w:hAnsi="宋体" w:eastAsia="宋体" w:cs="宋体"/>
          <w:sz w:val="24"/>
          <w:szCs w:val="24"/>
        </w:rPr>
        <w:t>基于智能移动端的校园数据展示与分析平台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软件的需求分析阶段严格按照先设计后实现的功能，需求由于进行了比较严格的分析和规划，所以后期的实现相对而言，改动较少，提高了软件开发效率。界面使用了导航功能，界面精炼简介，用户很容易上手。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数据信息通过图表和图谱的形式体现，值观地反馈给用户所需信息，使用户强烈地感受软件地好处。</w:t>
      </w:r>
    </w:p>
    <w:p>
      <w:pPr>
        <w:pStyle w:val="4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bookmarkStart w:id="18" w:name="_Toc6493"/>
      <w:bookmarkStart w:id="19" w:name="_Toc6902"/>
      <w:r>
        <w:rPr>
          <w:rFonts w:hint="eastAsia"/>
          <w:lang w:val="en-US" w:eastAsia="zh-CN"/>
        </w:rPr>
        <w:t>产品质量评价</w:t>
      </w:r>
      <w:bookmarkEnd w:id="18"/>
      <w:bookmarkEnd w:id="1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整个软件系统比较稳定，进行过比较严密地测试。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可用性:此软件具有很好地使用效果，适合于高校任何人使用。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可维护性：此软件系统比较稳定，结构清晰，可以进行维护。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可转移/转换性：此软件运用spring-boot和echarts实现软件功能，软件的移植性比较强，可以在电脑端和手机端使用。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bookmarkStart w:id="20" w:name="_Toc30018"/>
      <w:r>
        <w:rPr>
          <w:rFonts w:hint="eastAsia"/>
          <w:b/>
          <w:lang w:val="en-US" w:eastAsia="zh-CN"/>
        </w:rPr>
        <w:t>总结</w:t>
      </w:r>
      <w:bookmarkEnd w:id="2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这次大赛，培养了我们的创新精神、竞争意识、克服困难、坚持不懈的毅力以及团队合作精神。开发的这款软件，从设计到开发都经过了细致摸索、推敲和实地考察，做到了作品的原创性。这是一款独立研发且具有成品性质的软件，是我们大家共同努力的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软件开发工程中，大家分工明确，尽可能及时地完成任务，大家的协作能力，策划能力以及时间观念都有一定的提高。希望软件的设计能给用户视觉享受，希望方便用户使用以及广受用户的欢迎。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通过参加“山东省软件设计大赛”，得到了许多经验和教训：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一个成功的设计应该是以用户为出发点，始终在考虑用户需要什么，我们做的数据展示软件是给用户使用的，需要考虑用户需要获取的信息，并在此基础上尽可能地给用户最好的感受。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4AABD7"/>
    <w:multiLevelType w:val="singleLevel"/>
    <w:tmpl w:val="EF4AABD7"/>
    <w:lvl w:ilvl="0" w:tentative="0">
      <w:start w:val="1"/>
      <w:numFmt w:val="lowerLetter"/>
      <w:suff w:val="nothing"/>
      <w:lvlText w:val="%1、"/>
      <w:lvlJc w:val="left"/>
    </w:lvl>
  </w:abstractNum>
  <w:abstractNum w:abstractNumId="1">
    <w:nsid w:val="FCA72029"/>
    <w:multiLevelType w:val="singleLevel"/>
    <w:tmpl w:val="FCA720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B7BDAA8"/>
    <w:multiLevelType w:val="multilevel"/>
    <w:tmpl w:val="1B7BDAA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3">
    <w:nsid w:val="57413791"/>
    <w:multiLevelType w:val="multilevel"/>
    <w:tmpl w:val="574137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0F41D0"/>
    <w:rsid w:val="6601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2"/>
    <w:basedOn w:val="1"/>
    <w:next w:val="1"/>
    <w:uiPriority w:val="0"/>
    <w:pPr>
      <w:ind w:left="420" w:leftChars="200"/>
    </w:pPr>
  </w:style>
  <w:style w:type="paragraph" w:customStyle="1" w:styleId="11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2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2020-09-29T15:27:00Z</dcterms:created>
  <dc:creator>Acer</dc:creator>
  <cp:lastModifiedBy>Acer</cp:lastModifiedBy>
  <dcterms:modified xsi:type="dcterms:W3CDTF">2020-09-29T17:23:57Z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