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B34B" w14:textId="5439B89D" w:rsidR="00413509" w:rsidRPr="00BC7D76" w:rsidRDefault="00000000">
      <w:pPr>
        <w:pStyle w:val="Title"/>
        <w:jc w:val="center"/>
        <w:rPr>
          <w:rFonts w:ascii="Times New Roman" w:hAnsi="Times New Roman" w:cs="Times New Roman"/>
        </w:rPr>
      </w:pPr>
      <w:r w:rsidRPr="00BC7D76">
        <w:rPr>
          <w:rFonts w:ascii="Times New Roman" w:hAnsi="Times New Roman" w:cs="Times New Roman"/>
        </w:rPr>
        <w:t xml:space="preserve">Deciphering Market Structure: Systemic Risk and Portfolio </w:t>
      </w:r>
      <w:proofErr w:type="spellStart"/>
      <w:r w:rsidRPr="00BC7D76">
        <w:rPr>
          <w:rFonts w:ascii="Times New Roman" w:hAnsi="Times New Roman" w:cs="Times New Roman"/>
        </w:rPr>
        <w:t>Optimi</w:t>
      </w:r>
      <w:r w:rsidR="007130E7">
        <w:rPr>
          <w:rFonts w:ascii="Times New Roman" w:hAnsi="Times New Roman" w:cs="Times New Roman"/>
        </w:rPr>
        <w:t>s</w:t>
      </w:r>
      <w:r w:rsidRPr="00BC7D76">
        <w:rPr>
          <w:rFonts w:ascii="Times New Roman" w:hAnsi="Times New Roman" w:cs="Times New Roman"/>
        </w:rPr>
        <w:t>ation</w:t>
      </w:r>
      <w:proofErr w:type="spellEnd"/>
      <w:r w:rsidRPr="00BC7D76">
        <w:rPr>
          <w:rFonts w:ascii="Times New Roman" w:hAnsi="Times New Roman" w:cs="Times New Roman"/>
        </w:rPr>
        <w:t xml:space="preserve"> in the S&amp;P 500</w:t>
      </w:r>
    </w:p>
    <w:p w14:paraId="44D5CEBB" w14:textId="1F3A0ED6" w:rsidR="00413509" w:rsidRPr="00BC7D76" w:rsidRDefault="00000000" w:rsidP="00A50AEA">
      <w:pPr>
        <w:jc w:val="center"/>
        <w:rPr>
          <w:rFonts w:cs="Times New Roman"/>
        </w:rPr>
      </w:pPr>
      <w:r w:rsidRPr="00BC7D76">
        <w:rPr>
          <w:rFonts w:cs="Times New Roman"/>
          <w:b/>
          <w:sz w:val="22"/>
        </w:rPr>
        <w:t xml:space="preserve">Student ID: </w:t>
      </w:r>
      <w:r w:rsidR="00FC4193" w:rsidRPr="00BC7D76">
        <w:rPr>
          <w:rFonts w:cs="Times New Roman"/>
          <w:b/>
          <w:sz w:val="22"/>
        </w:rPr>
        <w:t xml:space="preserve">u5693885 </w:t>
      </w:r>
      <w:r w:rsidRPr="00BC7D76">
        <w:rPr>
          <w:rFonts w:cs="Times New Roman"/>
          <w:b/>
          <w:sz w:val="22"/>
        </w:rPr>
        <w:t>| Module: CS910 | Date: January 2026</w:t>
      </w:r>
    </w:p>
    <w:p w14:paraId="09018313" w14:textId="6A11A948" w:rsidR="00720AEB" w:rsidRPr="00720AEB" w:rsidRDefault="00000000" w:rsidP="00720AEB">
      <w:pPr>
        <w:pStyle w:val="Heading1"/>
        <w:spacing w:before="240" w:after="120"/>
        <w:rPr>
          <w:rFonts w:ascii="Times New Roman" w:hAnsi="Times New Roman" w:cs="Times New Roman"/>
          <w:lang w:eastAsia="zh-TW"/>
        </w:rPr>
      </w:pPr>
      <w:r w:rsidRPr="00BC7D76">
        <w:rPr>
          <w:rFonts w:ascii="Times New Roman" w:hAnsi="Times New Roman" w:cs="Times New Roman"/>
        </w:rPr>
        <w:t>Abstract</w:t>
      </w:r>
    </w:p>
    <w:p w14:paraId="2D27DE20" w14:textId="6B238BB4" w:rsidR="00720AEB" w:rsidRPr="00720AEB" w:rsidRDefault="00720AEB" w:rsidP="00720AEB">
      <w:pPr>
        <w:pStyle w:val="Heading1"/>
        <w:spacing w:before="240" w:after="120"/>
        <w:rPr>
          <w:rFonts w:ascii="Times New Roman" w:eastAsiaTheme="minorEastAsia" w:hAnsi="Times New Roman" w:cs="Times New Roman"/>
          <w:b w:val="0"/>
          <w:bCs w:val="0"/>
          <w:color w:val="auto"/>
          <w:sz w:val="20"/>
          <w:szCs w:val="24"/>
        </w:rPr>
      </w:pPr>
      <w:r w:rsidRPr="00720AEB">
        <w:rPr>
          <w:rFonts w:ascii="Times New Roman" w:eastAsiaTheme="minorEastAsia" w:hAnsi="Times New Roman" w:cs="Times New Roman"/>
          <w:b w:val="0"/>
          <w:bCs w:val="0"/>
          <w:color w:val="auto"/>
          <w:sz w:val="20"/>
          <w:szCs w:val="24"/>
        </w:rPr>
        <w:t xml:space="preserve">This paper focuses on the structure of the S&amp;P 500 index for 2019–2024 based on </w:t>
      </w:r>
      <w:r w:rsidR="00AA7CA8" w:rsidRPr="00AA7CA8">
        <w:rPr>
          <w:rFonts w:ascii="Times New Roman" w:eastAsiaTheme="minorEastAsia" w:hAnsi="Times New Roman" w:cs="Times New Roman"/>
          <w:b w:val="0"/>
          <w:bCs w:val="0"/>
          <w:color w:val="auto"/>
          <w:sz w:val="20"/>
          <w:szCs w:val="24"/>
        </w:rPr>
        <w:t>high-dimensional</w:t>
      </w:r>
      <w:r w:rsidRPr="00720AEB">
        <w:rPr>
          <w:rFonts w:ascii="Times New Roman" w:eastAsiaTheme="minorEastAsia" w:hAnsi="Times New Roman" w:cs="Times New Roman"/>
          <w:b w:val="0"/>
          <w:bCs w:val="0"/>
          <w:color w:val="auto"/>
          <w:sz w:val="20"/>
          <w:szCs w:val="24"/>
        </w:rPr>
        <w:t xml:space="preserve"> data analysis. </w:t>
      </w:r>
      <w:r w:rsidR="00042BAF" w:rsidRPr="00042BAF">
        <w:rPr>
          <w:rFonts w:ascii="Times New Roman" w:eastAsiaTheme="minorEastAsia" w:hAnsi="Times New Roman" w:cs="Times New Roman"/>
          <w:b w:val="0"/>
          <w:bCs w:val="0"/>
          <w:color w:val="auto"/>
          <w:sz w:val="20"/>
          <w:szCs w:val="24"/>
        </w:rPr>
        <w:t>The aim is to identify the primary sources of stock market volatility and to assess whether simple, data-driven tools can support better portfolio decisions under different market conditions.</w:t>
      </w:r>
      <w:r w:rsidRPr="00720AEB">
        <w:rPr>
          <w:rFonts w:ascii="Times New Roman" w:eastAsiaTheme="minorEastAsia" w:hAnsi="Times New Roman" w:cs="Times New Roman"/>
          <w:b w:val="0"/>
          <w:bCs w:val="0"/>
          <w:color w:val="auto"/>
          <w:sz w:val="20"/>
          <w:szCs w:val="24"/>
        </w:rPr>
        <w:t xml:space="preserve"> At the heart of this is the so-called “curse of dimensionality”: </w:t>
      </w:r>
      <w:r w:rsidR="00042BAF" w:rsidRPr="00042BAF">
        <w:rPr>
          <w:rFonts w:ascii="Times New Roman" w:eastAsiaTheme="minorEastAsia" w:hAnsi="Times New Roman" w:cs="Times New Roman"/>
          <w:b w:val="0"/>
          <w:bCs w:val="0"/>
          <w:color w:val="auto"/>
          <w:sz w:val="20"/>
          <w:szCs w:val="24"/>
        </w:rPr>
        <w:t>as the analysis moves from a handful of individual stocks to hundreds or even thousands of assets, it becomes non-trivial to separate true systemic risk</w:t>
      </w:r>
      <w:r w:rsidR="00042BAF" w:rsidRPr="00042BAF">
        <w:rPr>
          <w:rFonts w:ascii="Times New Roman" w:eastAsiaTheme="minorEastAsia" w:hAnsi="Times New Roman" w:cs="Times New Roman"/>
          <w:b w:val="0"/>
          <w:bCs w:val="0"/>
          <w:color w:val="auto"/>
          <w:sz w:val="20"/>
          <w:szCs w:val="24"/>
        </w:rPr>
        <w:t xml:space="preserve"> </w:t>
      </w:r>
      <w:r w:rsidRPr="00720AEB">
        <w:rPr>
          <w:rFonts w:ascii="Times New Roman" w:eastAsiaTheme="minorEastAsia" w:hAnsi="Times New Roman" w:cs="Times New Roman"/>
          <w:b w:val="0"/>
          <w:bCs w:val="0"/>
          <w:color w:val="auto"/>
          <w:sz w:val="20"/>
          <w:szCs w:val="24"/>
        </w:rPr>
        <w:t>(what’s happening across the whole market) from idiosyncratic noise (fluctuations in individual stock prices).</w:t>
      </w:r>
    </w:p>
    <w:p w14:paraId="064B5598" w14:textId="289407D4" w:rsidR="00720AEB" w:rsidRDefault="00720AEB" w:rsidP="00720AEB">
      <w:pPr>
        <w:pStyle w:val="Heading1"/>
        <w:spacing w:before="240" w:after="120"/>
        <w:rPr>
          <w:rFonts w:ascii="Times New Roman" w:eastAsiaTheme="minorEastAsia" w:hAnsi="Times New Roman" w:cs="Times New Roman"/>
          <w:b w:val="0"/>
          <w:bCs w:val="0"/>
          <w:color w:val="auto"/>
          <w:sz w:val="20"/>
          <w:szCs w:val="24"/>
        </w:rPr>
      </w:pPr>
      <w:r w:rsidRPr="00720AEB">
        <w:rPr>
          <w:rFonts w:ascii="Times New Roman" w:eastAsiaTheme="minorEastAsia" w:hAnsi="Times New Roman" w:cs="Times New Roman"/>
          <w:b w:val="0"/>
          <w:bCs w:val="0"/>
          <w:color w:val="auto"/>
          <w:sz w:val="20"/>
          <w:szCs w:val="24"/>
        </w:rPr>
        <w:t xml:space="preserve">To overcome this, we apply three unsupervised methods: PCA (Principal Component Analysis), </w:t>
      </w:r>
      <w:r>
        <w:rPr>
          <w:rFonts w:ascii="Times New Roman" w:eastAsiaTheme="minorEastAsia" w:hAnsi="Times New Roman" w:cs="Times New Roman"/>
          <w:b w:val="0"/>
          <w:bCs w:val="0"/>
          <w:color w:val="auto"/>
          <w:sz w:val="20"/>
          <w:szCs w:val="24"/>
        </w:rPr>
        <w:t>K-means clustering</w:t>
      </w:r>
      <w:r w:rsidRPr="00720AEB">
        <w:rPr>
          <w:rFonts w:ascii="Times New Roman" w:eastAsiaTheme="minorEastAsia" w:hAnsi="Times New Roman" w:cs="Times New Roman"/>
          <w:b w:val="0"/>
          <w:bCs w:val="0"/>
          <w:color w:val="auto"/>
          <w:sz w:val="20"/>
          <w:szCs w:val="24"/>
        </w:rPr>
        <w:t xml:space="preserve"> and rolling-window approach. PCA transforms hundreds of daily return series into a small set of dominant factors; </w:t>
      </w:r>
      <w:r w:rsidR="00042BAF" w:rsidRPr="00042BAF">
        <w:rPr>
          <w:rFonts w:ascii="Times New Roman" w:eastAsiaTheme="minorEastAsia" w:hAnsi="Times New Roman" w:cs="Times New Roman"/>
          <w:b w:val="0"/>
          <w:bCs w:val="0"/>
          <w:color w:val="auto"/>
          <w:sz w:val="20"/>
          <w:szCs w:val="24"/>
        </w:rPr>
        <w:t>K-means clustering groups stocks with similar correlation profiles, while rolling PCA reveals how important the leading factor becomes over time.</w:t>
      </w:r>
      <w:r w:rsidR="00042BAF">
        <w:rPr>
          <w:rFonts w:ascii="Times New Roman" w:eastAsiaTheme="minorEastAsia" w:hAnsi="Times New Roman" w:cs="Times New Roman"/>
          <w:b w:val="0"/>
          <w:bCs w:val="0"/>
          <w:color w:val="auto"/>
          <w:sz w:val="20"/>
          <w:szCs w:val="24"/>
        </w:rPr>
        <w:t xml:space="preserve"> </w:t>
      </w:r>
      <w:r w:rsidRPr="00720AEB">
        <w:rPr>
          <w:rFonts w:ascii="Times New Roman" w:eastAsiaTheme="minorEastAsia" w:hAnsi="Times New Roman" w:cs="Times New Roman"/>
          <w:b w:val="0"/>
          <w:bCs w:val="0"/>
          <w:color w:val="auto"/>
          <w:sz w:val="20"/>
          <w:szCs w:val="24"/>
        </w:rPr>
        <w:t>The empirical findings indicate that the S&amp;P 500 is relatively integrated: the first principal component accounts for about 40% of the cross-sectional variance in daily returns and has a strong exposure to mega-cap technology stocks like NVIDIA, Microsoft, and Apple</w:t>
      </w:r>
      <w:r w:rsidR="00042BAF">
        <w:rPr>
          <w:rFonts w:ascii="Times New Roman" w:eastAsiaTheme="minorEastAsia" w:hAnsi="Times New Roman" w:cs="Times New Roman"/>
          <w:b w:val="0"/>
          <w:bCs w:val="0"/>
          <w:color w:val="auto"/>
          <w:sz w:val="20"/>
          <w:szCs w:val="24"/>
        </w:rPr>
        <w:t>.</w:t>
      </w:r>
      <w:r w:rsidR="00042BAF" w:rsidRPr="00042BAF">
        <w:t xml:space="preserve"> </w:t>
      </w:r>
      <w:r w:rsidR="00042BAF" w:rsidRPr="00042BAF">
        <w:rPr>
          <w:rFonts w:ascii="Times New Roman" w:eastAsiaTheme="minorEastAsia" w:hAnsi="Times New Roman" w:cs="Times New Roman"/>
          <w:b w:val="0"/>
          <w:bCs w:val="0"/>
          <w:color w:val="auto"/>
          <w:sz w:val="20"/>
          <w:szCs w:val="24"/>
        </w:rPr>
        <w:t>This implies that simple index-based exposure is far more concentrated than it appears at first sight.</w:t>
      </w:r>
      <w:r w:rsidR="00042BAF">
        <w:rPr>
          <w:rFonts w:ascii="Times New Roman" w:eastAsiaTheme="minorEastAsia" w:hAnsi="Times New Roman" w:cs="Times New Roman"/>
          <w:b w:val="0"/>
          <w:bCs w:val="0"/>
          <w:color w:val="auto"/>
          <w:sz w:val="20"/>
          <w:szCs w:val="24"/>
        </w:rPr>
        <w:t xml:space="preserve"> </w:t>
      </w:r>
      <w:proofErr w:type="gramStart"/>
      <w:r w:rsidRPr="00720AEB">
        <w:rPr>
          <w:rFonts w:ascii="Times New Roman" w:eastAsiaTheme="minorEastAsia" w:hAnsi="Times New Roman" w:cs="Times New Roman"/>
          <w:b w:val="0"/>
          <w:bCs w:val="0"/>
          <w:color w:val="auto"/>
          <w:sz w:val="20"/>
          <w:szCs w:val="24"/>
        </w:rPr>
        <w:t>We</w:t>
      </w:r>
      <w:proofErr w:type="gramEnd"/>
      <w:r w:rsidRPr="00720AEB">
        <w:rPr>
          <w:rFonts w:ascii="Times New Roman" w:eastAsiaTheme="minorEastAsia" w:hAnsi="Times New Roman" w:cs="Times New Roman"/>
          <w:b w:val="0"/>
          <w:bCs w:val="0"/>
          <w:color w:val="auto"/>
          <w:sz w:val="20"/>
          <w:szCs w:val="24"/>
        </w:rPr>
        <w:t xml:space="preserve"> also note that systemic risk exhibits a high degree of time</w:t>
      </w:r>
      <w:r w:rsidR="00042BAF">
        <w:rPr>
          <w:rFonts w:ascii="Times New Roman" w:eastAsiaTheme="minorEastAsia" w:hAnsi="Times New Roman" w:cs="Times New Roman"/>
          <w:b w:val="0"/>
          <w:bCs w:val="0"/>
          <w:color w:val="auto"/>
          <w:sz w:val="20"/>
          <w:szCs w:val="24"/>
        </w:rPr>
        <w:t xml:space="preserve"> </w:t>
      </w:r>
      <w:r w:rsidRPr="00720AEB">
        <w:rPr>
          <w:rFonts w:ascii="Times New Roman" w:eastAsiaTheme="minorEastAsia" w:hAnsi="Times New Roman" w:cs="Times New Roman"/>
          <w:b w:val="0"/>
          <w:bCs w:val="0"/>
          <w:color w:val="auto"/>
          <w:sz w:val="20"/>
          <w:szCs w:val="24"/>
        </w:rPr>
        <w:t xml:space="preserve">variation. In the March 2020 COVID-19 crash, </w:t>
      </w:r>
      <w:r w:rsidR="00042BAF">
        <w:rPr>
          <w:rFonts w:ascii="Times New Roman" w:eastAsiaTheme="minorEastAsia" w:hAnsi="Times New Roman" w:cs="Times New Roman"/>
          <w:b w:val="0"/>
          <w:bCs w:val="0"/>
          <w:color w:val="auto"/>
          <w:sz w:val="20"/>
          <w:szCs w:val="24"/>
        </w:rPr>
        <w:t xml:space="preserve">the </w:t>
      </w:r>
      <w:r w:rsidRPr="00720AEB">
        <w:rPr>
          <w:rFonts w:ascii="Times New Roman" w:eastAsiaTheme="minorEastAsia" w:hAnsi="Times New Roman" w:cs="Times New Roman"/>
          <w:b w:val="0"/>
          <w:bCs w:val="0"/>
          <w:color w:val="auto"/>
          <w:sz w:val="20"/>
          <w:szCs w:val="24"/>
        </w:rPr>
        <w:t>share of variance explained by the first component jumps to nearly 60%, showing a “correlation convergence” episode where diversification across individual names is largely eradicated. A cluster-analytical approach reveals that</w:t>
      </w:r>
      <w:r w:rsidR="00042BAF">
        <w:rPr>
          <w:rFonts w:ascii="Times New Roman" w:eastAsiaTheme="minorEastAsia" w:hAnsi="Times New Roman" w:cs="Times New Roman"/>
          <w:b w:val="0"/>
          <w:bCs w:val="0"/>
          <w:color w:val="auto"/>
          <w:sz w:val="20"/>
          <w:szCs w:val="24"/>
        </w:rPr>
        <w:t>,</w:t>
      </w:r>
      <w:r w:rsidRPr="00720AEB">
        <w:rPr>
          <w:rFonts w:ascii="Times New Roman" w:eastAsiaTheme="minorEastAsia" w:hAnsi="Times New Roman" w:cs="Times New Roman"/>
          <w:b w:val="0"/>
          <w:bCs w:val="0"/>
          <w:color w:val="auto"/>
          <w:sz w:val="20"/>
          <w:szCs w:val="24"/>
        </w:rPr>
        <w:t xml:space="preserve"> particularly</w:t>
      </w:r>
      <w:r w:rsidR="00042BAF">
        <w:rPr>
          <w:rFonts w:ascii="Times New Roman" w:eastAsiaTheme="minorEastAsia" w:hAnsi="Times New Roman" w:cs="Times New Roman"/>
          <w:b w:val="0"/>
          <w:bCs w:val="0"/>
          <w:color w:val="auto"/>
          <w:sz w:val="20"/>
          <w:szCs w:val="24"/>
        </w:rPr>
        <w:t>,</w:t>
      </w:r>
      <w:r w:rsidRPr="00720AEB">
        <w:rPr>
          <w:rFonts w:ascii="Times New Roman" w:eastAsiaTheme="minorEastAsia" w:hAnsi="Times New Roman" w:cs="Times New Roman"/>
          <w:b w:val="0"/>
          <w:bCs w:val="0"/>
          <w:color w:val="auto"/>
          <w:sz w:val="20"/>
          <w:szCs w:val="24"/>
        </w:rPr>
        <w:t xml:space="preserve"> the clusters Energy and Technology display low, or even negative, correlations during the inflation shock of 2022, implying statistically significant hedging possibilities. Finally, we generate an optimal frontier for cluster-based portfolios and simulate 5,000 random allocations as a comparison. The top performing cluster-based portfolio earns a Sharpe ratio that is significantly better than the median naïve portfolio, which shows that </w:t>
      </w:r>
      <w:r w:rsidR="00042BAF" w:rsidRPr="00042BAF">
        <w:rPr>
          <w:rFonts w:ascii="Times New Roman" w:eastAsiaTheme="minorEastAsia" w:hAnsi="Times New Roman" w:cs="Times New Roman"/>
          <w:b w:val="0"/>
          <w:bCs w:val="0"/>
          <w:color w:val="auto"/>
          <w:sz w:val="20"/>
          <w:szCs w:val="24"/>
        </w:rPr>
        <w:t>straightforward</w:t>
      </w:r>
      <w:r w:rsidRPr="00720AEB">
        <w:rPr>
          <w:rFonts w:ascii="Times New Roman" w:eastAsiaTheme="minorEastAsia" w:hAnsi="Times New Roman" w:cs="Times New Roman"/>
          <w:b w:val="0"/>
          <w:bCs w:val="0"/>
          <w:color w:val="auto"/>
          <w:sz w:val="20"/>
          <w:szCs w:val="24"/>
        </w:rPr>
        <w:t xml:space="preserve"> unsupervised techniques can contribute to a better risk–return trade-off compared with equal-weighting.</w:t>
      </w:r>
    </w:p>
    <w:p w14:paraId="582392C8" w14:textId="4DF9E176" w:rsidR="00413509" w:rsidRPr="00BC7D76" w:rsidRDefault="00000000" w:rsidP="00720AEB">
      <w:pPr>
        <w:pStyle w:val="Heading1"/>
        <w:spacing w:before="240" w:after="120"/>
        <w:rPr>
          <w:rFonts w:ascii="Times New Roman" w:hAnsi="Times New Roman" w:cs="Times New Roman"/>
          <w:i w:val="0"/>
          <w:iCs/>
        </w:rPr>
      </w:pPr>
      <w:r w:rsidRPr="00BC7D76">
        <w:rPr>
          <w:rFonts w:ascii="Times New Roman" w:hAnsi="Times New Roman" w:cs="Times New Roman"/>
          <w:i w:val="0"/>
          <w:iCs/>
        </w:rPr>
        <w:t>1. Introduction</w:t>
      </w:r>
    </w:p>
    <w:p w14:paraId="67C2EF86" w14:textId="77777777" w:rsidR="00413509" w:rsidRPr="00BC7D76" w:rsidRDefault="00000000">
      <w:pPr>
        <w:pStyle w:val="Heading2"/>
        <w:spacing w:before="120" w:after="80"/>
        <w:rPr>
          <w:rFonts w:ascii="Times New Roman" w:hAnsi="Times New Roman" w:cs="Times New Roman"/>
          <w:i w:val="0"/>
          <w:iCs/>
        </w:rPr>
      </w:pPr>
      <w:r w:rsidRPr="00BC7D76">
        <w:rPr>
          <w:rFonts w:ascii="Times New Roman" w:hAnsi="Times New Roman" w:cs="Times New Roman"/>
          <w:i w:val="0"/>
          <w:iCs/>
        </w:rPr>
        <w:t>1.1 Background: The Complexity of Modern Markets</w:t>
      </w:r>
    </w:p>
    <w:p w14:paraId="3F704846" w14:textId="17EDAC41" w:rsidR="00BC7D76" w:rsidRPr="007130E7" w:rsidRDefault="00BC7D76" w:rsidP="00BC7D76">
      <w:pPr>
        <w:spacing w:after="120" w:line="252" w:lineRule="auto"/>
        <w:jc w:val="both"/>
        <w:rPr>
          <w:rFonts w:cs="Times New Roman"/>
          <w:i w:val="0"/>
          <w:iCs/>
          <w:sz w:val="20"/>
          <w:szCs w:val="24"/>
        </w:rPr>
      </w:pPr>
      <w:r w:rsidRPr="007130E7">
        <w:rPr>
          <w:rFonts w:cs="Times New Roman"/>
          <w:i w:val="0"/>
          <w:iCs/>
          <w:sz w:val="20"/>
          <w:szCs w:val="24"/>
        </w:rPr>
        <w:t>The financial market today generates a large amount of data every day. Data such as prices, trading volumes, index levels, and industry returns are frequently observed, often involving hundreds or even thousands of assets at a time. From an information extraction perspective, quantitative analysts are not interested in acquiring the data itself, but rather in extracting signals from the random noise in this high-dimensional world.</w:t>
      </w:r>
    </w:p>
    <w:p w14:paraId="57059DA4" w14:textId="3245C7A3" w:rsidR="00BC7D76" w:rsidRPr="007130E7" w:rsidRDefault="00BC7D76" w:rsidP="00BC7D76">
      <w:pPr>
        <w:spacing w:after="120" w:line="252" w:lineRule="auto"/>
        <w:jc w:val="both"/>
        <w:rPr>
          <w:rFonts w:cs="Times New Roman"/>
          <w:i w:val="0"/>
          <w:iCs/>
          <w:sz w:val="20"/>
          <w:szCs w:val="24"/>
        </w:rPr>
      </w:pPr>
      <w:r w:rsidRPr="007130E7">
        <w:rPr>
          <w:rFonts w:cs="Times New Roman"/>
          <w:i w:val="0"/>
          <w:iCs/>
          <w:sz w:val="20"/>
          <w:szCs w:val="24"/>
        </w:rPr>
        <w:t xml:space="preserve">Classic asset pricing models, including the Capital Asset Pricing Model (CAPM), assume that the market is a simple linear world: the expected return of an asset is a linear function </w:t>
      </w:r>
      <w:r w:rsidR="00525265" w:rsidRPr="007130E7">
        <w:rPr>
          <w:rFonts w:cs="Times New Roman"/>
          <w:i w:val="0"/>
          <w:iCs/>
          <w:sz w:val="20"/>
          <w:szCs w:val="24"/>
        </w:rPr>
        <w:t>of</w:t>
      </w:r>
      <w:r w:rsidRPr="007130E7">
        <w:rPr>
          <w:rFonts w:cs="Times New Roman"/>
          <w:i w:val="0"/>
          <w:iCs/>
          <w:sz w:val="20"/>
          <w:szCs w:val="24"/>
        </w:rPr>
        <w:t xml:space="preserve"> </w:t>
      </w:r>
      <w:r w:rsidR="00525265" w:rsidRPr="007130E7">
        <w:rPr>
          <w:rFonts w:cs="Times New Roman"/>
          <w:i w:val="0"/>
          <w:iCs/>
          <w:sz w:val="20"/>
          <w:szCs w:val="24"/>
        </w:rPr>
        <w:t>its</w:t>
      </w:r>
      <w:r w:rsidRPr="007130E7">
        <w:rPr>
          <w:rFonts w:cs="Times New Roman"/>
          <w:i w:val="0"/>
          <w:iCs/>
          <w:sz w:val="20"/>
          <w:szCs w:val="24"/>
        </w:rPr>
        <w:t xml:space="preserve"> beta coefficient. In this c</w:t>
      </w:r>
      <w:r w:rsidR="00525265" w:rsidRPr="007130E7">
        <w:rPr>
          <w:rFonts w:cs="Times New Roman"/>
          <w:i w:val="0"/>
          <w:iCs/>
          <w:sz w:val="20"/>
          <w:szCs w:val="24"/>
        </w:rPr>
        <w:t>ontext</w:t>
      </w:r>
      <w:r w:rsidRPr="007130E7">
        <w:rPr>
          <w:rFonts w:cs="Times New Roman"/>
          <w:i w:val="0"/>
          <w:iCs/>
          <w:sz w:val="20"/>
          <w:szCs w:val="24"/>
        </w:rPr>
        <w:t xml:space="preserve">, it is </w:t>
      </w:r>
      <w:r w:rsidR="00525265" w:rsidRPr="007130E7">
        <w:rPr>
          <w:rFonts w:cs="Times New Roman"/>
          <w:i w:val="0"/>
          <w:iCs/>
          <w:sz w:val="20"/>
          <w:szCs w:val="24"/>
        </w:rPr>
        <w:t>typic</w:t>
      </w:r>
      <w:r w:rsidRPr="007130E7">
        <w:rPr>
          <w:rFonts w:cs="Times New Roman"/>
          <w:i w:val="0"/>
          <w:iCs/>
          <w:sz w:val="20"/>
          <w:szCs w:val="24"/>
        </w:rPr>
        <w:t xml:space="preserve">ally assumed that a single fundamental market factor is the </w:t>
      </w:r>
      <w:r w:rsidR="00525265" w:rsidRPr="007130E7">
        <w:rPr>
          <w:rFonts w:cs="Times New Roman"/>
          <w:i w:val="0"/>
          <w:iCs/>
          <w:sz w:val="20"/>
          <w:szCs w:val="24"/>
        </w:rPr>
        <w:t>primary</w:t>
      </w:r>
      <w:r w:rsidRPr="007130E7">
        <w:rPr>
          <w:rFonts w:cs="Times New Roman"/>
          <w:i w:val="0"/>
          <w:iCs/>
          <w:sz w:val="20"/>
          <w:szCs w:val="24"/>
        </w:rPr>
        <w:t xml:space="preserve"> </w:t>
      </w:r>
      <w:r w:rsidR="00525265" w:rsidRPr="007130E7">
        <w:rPr>
          <w:rFonts w:cs="Times New Roman"/>
          <w:i w:val="0"/>
          <w:iCs/>
          <w:sz w:val="20"/>
          <w:szCs w:val="24"/>
        </w:rPr>
        <w:t>driver</w:t>
      </w:r>
      <w:r w:rsidRPr="007130E7">
        <w:rPr>
          <w:rFonts w:cs="Times New Roman"/>
          <w:i w:val="0"/>
          <w:iCs/>
          <w:sz w:val="20"/>
          <w:szCs w:val="24"/>
        </w:rPr>
        <w:t xml:space="preserve"> </w:t>
      </w:r>
      <w:r w:rsidR="00525265" w:rsidRPr="007130E7">
        <w:rPr>
          <w:rFonts w:cs="Times New Roman"/>
          <w:i w:val="0"/>
          <w:iCs/>
          <w:sz w:val="20"/>
          <w:szCs w:val="24"/>
        </w:rPr>
        <w:t>of</w:t>
      </w:r>
      <w:r w:rsidRPr="007130E7">
        <w:rPr>
          <w:rFonts w:cs="Times New Roman"/>
          <w:i w:val="0"/>
          <w:iCs/>
          <w:sz w:val="20"/>
          <w:szCs w:val="24"/>
        </w:rPr>
        <w:t xml:space="preserve"> all stock returns.</w:t>
      </w:r>
      <w:r w:rsidR="000E7CFA">
        <w:t xml:space="preserve"> </w:t>
      </w:r>
      <w:r w:rsidRPr="007130E7">
        <w:rPr>
          <w:rFonts w:cs="Times New Roman"/>
          <w:i w:val="0"/>
          <w:iCs/>
          <w:sz w:val="20"/>
          <w:szCs w:val="24"/>
        </w:rPr>
        <w:t xml:space="preserve">However, recent research on "decoding stock market dynamics" </w:t>
      </w:r>
      <w:r w:rsidR="00525265" w:rsidRPr="007130E7">
        <w:rPr>
          <w:rFonts w:cs="Times New Roman"/>
          <w:i w:val="0"/>
          <w:iCs/>
          <w:sz w:val="20"/>
          <w:szCs w:val="24"/>
        </w:rPr>
        <w:t>indicates that this model is overly simplistic for contemporary markets, as correlations can arise across multiple time scales and industries</w:t>
      </w:r>
      <w:r w:rsidRPr="007130E7">
        <w:rPr>
          <w:rFonts w:cs="Times New Roman"/>
          <w:i w:val="0"/>
          <w:iCs/>
          <w:sz w:val="20"/>
          <w:szCs w:val="24"/>
        </w:rPr>
        <w:t xml:space="preserve"> [1]. </w:t>
      </w:r>
      <w:proofErr w:type="gramStart"/>
      <w:r w:rsidRPr="007130E7">
        <w:rPr>
          <w:rFonts w:cs="Times New Roman"/>
          <w:i w:val="0"/>
          <w:iCs/>
          <w:sz w:val="20"/>
          <w:szCs w:val="24"/>
        </w:rPr>
        <w:t>In reality, large</w:t>
      </w:r>
      <w:proofErr w:type="gramEnd"/>
      <w:r w:rsidRPr="007130E7">
        <w:rPr>
          <w:rFonts w:cs="Times New Roman"/>
          <w:i w:val="0"/>
          <w:iCs/>
          <w:sz w:val="20"/>
          <w:szCs w:val="24"/>
        </w:rPr>
        <w:t xml:space="preserve"> market fluctuations are often not driven by a single linear factor but </w:t>
      </w:r>
      <w:r w:rsidR="00525265" w:rsidRPr="007130E7">
        <w:rPr>
          <w:rFonts w:cs="Times New Roman"/>
          <w:i w:val="0"/>
          <w:iCs/>
          <w:sz w:val="20"/>
          <w:szCs w:val="24"/>
        </w:rPr>
        <w:t>by</w:t>
      </w:r>
      <w:r w:rsidRPr="007130E7">
        <w:rPr>
          <w:rFonts w:cs="Times New Roman"/>
          <w:i w:val="0"/>
          <w:iCs/>
          <w:sz w:val="20"/>
          <w:szCs w:val="24"/>
        </w:rPr>
        <w:t xml:space="preserve"> multiple factors</w:t>
      </w:r>
      <w:r w:rsidR="00525265" w:rsidRPr="007130E7">
        <w:rPr>
          <w:rFonts w:cs="Times New Roman"/>
          <w:i w:val="0"/>
          <w:iCs/>
          <w:sz w:val="20"/>
          <w:szCs w:val="24"/>
        </w:rPr>
        <w:t>,</w:t>
      </w:r>
      <w:r w:rsidRPr="007130E7">
        <w:rPr>
          <w:rFonts w:cs="Times New Roman"/>
          <w:i w:val="0"/>
          <w:iCs/>
          <w:sz w:val="20"/>
          <w:szCs w:val="24"/>
        </w:rPr>
        <w:t xml:space="preserve"> such as macroeconomic news, industry shocks, and investor </w:t>
      </w:r>
      <w:proofErr w:type="spellStart"/>
      <w:r w:rsidRPr="007130E7">
        <w:rPr>
          <w:rFonts w:cs="Times New Roman"/>
          <w:i w:val="0"/>
          <w:iCs/>
          <w:sz w:val="20"/>
          <w:szCs w:val="24"/>
        </w:rPr>
        <w:t>behavio</w:t>
      </w:r>
      <w:r w:rsidR="00525265" w:rsidRPr="007130E7">
        <w:rPr>
          <w:rFonts w:cs="Times New Roman"/>
          <w:i w:val="0"/>
          <w:iCs/>
          <w:sz w:val="20"/>
          <w:szCs w:val="24"/>
        </w:rPr>
        <w:t>u</w:t>
      </w:r>
      <w:r w:rsidRPr="007130E7">
        <w:rPr>
          <w:rFonts w:cs="Times New Roman"/>
          <w:i w:val="0"/>
          <w:iCs/>
          <w:sz w:val="20"/>
          <w:szCs w:val="24"/>
        </w:rPr>
        <w:t>r</w:t>
      </w:r>
      <w:proofErr w:type="spellEnd"/>
      <w:r w:rsidRPr="007130E7">
        <w:rPr>
          <w:rFonts w:cs="Times New Roman"/>
          <w:i w:val="0"/>
          <w:iCs/>
          <w:sz w:val="20"/>
          <w:szCs w:val="24"/>
        </w:rPr>
        <w:t>.</w:t>
      </w:r>
    </w:p>
    <w:p w14:paraId="3C6BE4F6" w14:textId="0AAE7286" w:rsidR="00413509" w:rsidRPr="007130E7" w:rsidRDefault="00BC7D76" w:rsidP="00BC7D76">
      <w:pPr>
        <w:spacing w:after="120" w:line="252" w:lineRule="auto"/>
        <w:jc w:val="both"/>
        <w:rPr>
          <w:rFonts w:cs="Times New Roman"/>
          <w:i w:val="0"/>
          <w:iCs/>
          <w:sz w:val="20"/>
          <w:szCs w:val="24"/>
          <w:lang w:eastAsia="zh-TW"/>
        </w:rPr>
      </w:pPr>
      <w:r w:rsidRPr="007130E7">
        <w:rPr>
          <w:rFonts w:cs="Times New Roman"/>
          <w:i w:val="0"/>
          <w:iCs/>
          <w:sz w:val="20"/>
          <w:szCs w:val="24"/>
        </w:rPr>
        <w:t xml:space="preserve">The stock market crash </w:t>
      </w:r>
      <w:r w:rsidR="00525265" w:rsidRPr="007130E7">
        <w:rPr>
          <w:rFonts w:cs="Times New Roman"/>
          <w:i w:val="0"/>
          <w:iCs/>
          <w:sz w:val="20"/>
          <w:szCs w:val="24"/>
        </w:rPr>
        <w:t>because</w:t>
      </w:r>
      <w:r w:rsidRPr="007130E7">
        <w:rPr>
          <w:rFonts w:cs="Times New Roman"/>
          <w:i w:val="0"/>
          <w:iCs/>
          <w:sz w:val="20"/>
          <w:szCs w:val="24"/>
        </w:rPr>
        <w:t xml:space="preserve"> </w:t>
      </w:r>
      <w:r w:rsidR="00525265" w:rsidRPr="007130E7">
        <w:rPr>
          <w:rFonts w:cs="Times New Roman"/>
          <w:i w:val="0"/>
          <w:iCs/>
          <w:sz w:val="20"/>
          <w:szCs w:val="24"/>
        </w:rPr>
        <w:t xml:space="preserve">of </w:t>
      </w:r>
      <w:r w:rsidRPr="007130E7">
        <w:rPr>
          <w:rFonts w:cs="Times New Roman"/>
          <w:i w:val="0"/>
          <w:iCs/>
          <w:sz w:val="20"/>
          <w:szCs w:val="24"/>
        </w:rPr>
        <w:t>the COVID-19 pandemic in 2020 undoubtedly vividly illustrates this point. This crisis is often referred to as a "black swan" event: it arrives unexpectedly, sweeps through markets with lightning speed, and causes a sharp increase in correlations between many assets</w:t>
      </w:r>
      <w:r w:rsidR="00EB0D2F">
        <w:rPr>
          <w:rFonts w:cs="Times New Roman"/>
          <w:i w:val="0"/>
          <w:iCs/>
          <w:sz w:val="20"/>
          <w:szCs w:val="24"/>
        </w:rPr>
        <w:t xml:space="preserve"> </w:t>
      </w:r>
      <w:r w:rsidR="007130E7" w:rsidRPr="007130E7">
        <w:rPr>
          <w:rFonts w:cs="Times New Roman"/>
          <w:i w:val="0"/>
          <w:iCs/>
          <w:sz w:val="20"/>
          <w:szCs w:val="24"/>
        </w:rPr>
        <w:t>[</w:t>
      </w:r>
      <w:r w:rsidR="000E7CFA">
        <w:rPr>
          <w:rFonts w:cs="Times New Roman"/>
          <w:i w:val="0"/>
          <w:iCs/>
          <w:sz w:val="20"/>
          <w:szCs w:val="24"/>
        </w:rPr>
        <w:t>2,</w:t>
      </w:r>
      <w:r w:rsidR="004B7F9A">
        <w:rPr>
          <w:rFonts w:cs="Times New Roman"/>
          <w:i w:val="0"/>
          <w:iCs/>
          <w:sz w:val="20"/>
          <w:szCs w:val="24"/>
        </w:rPr>
        <w:t xml:space="preserve"> </w:t>
      </w:r>
      <w:r w:rsidR="000E7CFA">
        <w:rPr>
          <w:rFonts w:cs="Times New Roman"/>
          <w:i w:val="0"/>
          <w:iCs/>
          <w:sz w:val="20"/>
          <w:szCs w:val="24"/>
        </w:rPr>
        <w:t>5</w:t>
      </w:r>
      <w:r w:rsidR="007130E7" w:rsidRPr="007130E7">
        <w:rPr>
          <w:rFonts w:cs="Times New Roman"/>
          <w:i w:val="0"/>
          <w:iCs/>
          <w:sz w:val="20"/>
          <w:szCs w:val="24"/>
        </w:rPr>
        <w:t>]</w:t>
      </w:r>
      <w:r w:rsidR="00EB0D2F">
        <w:rPr>
          <w:rFonts w:cs="Times New Roman"/>
          <w:i w:val="0"/>
          <w:iCs/>
          <w:sz w:val="20"/>
          <w:szCs w:val="24"/>
        </w:rPr>
        <w:t>.</w:t>
      </w:r>
      <w:r w:rsidRPr="007130E7">
        <w:rPr>
          <w:rFonts w:cs="Times New Roman"/>
          <w:i w:val="0"/>
          <w:iCs/>
          <w:sz w:val="20"/>
          <w:szCs w:val="24"/>
        </w:rPr>
        <w:t xml:space="preserve"> In such a crisis, the traditional diversification strategy of "holding a variety of different stocks to mitigate risk" becomes less effective. </w:t>
      </w:r>
      <w:r w:rsidR="00042BAF" w:rsidRPr="00042BAF">
        <w:rPr>
          <w:rFonts w:cs="Times New Roman"/>
          <w:i w:val="0"/>
          <w:iCs/>
          <w:sz w:val="20"/>
          <w:szCs w:val="24"/>
        </w:rPr>
        <w:t>This is precisely the motivation for this study: modern high-dimensional data techniques are used to quantify the degree of correlation among S&amp;P 500 constituents, to track how this correlation changes with market conditions, and to evaluate whether data-driven tools can manage risk more effectively than simple linear models.</w:t>
      </w:r>
    </w:p>
    <w:p w14:paraId="123B7FD2" w14:textId="77777777" w:rsidR="00413509" w:rsidRPr="009C4621" w:rsidRDefault="00000000">
      <w:pPr>
        <w:pStyle w:val="Heading2"/>
        <w:spacing w:before="120" w:after="80"/>
        <w:rPr>
          <w:rFonts w:ascii="Times New Roman" w:hAnsi="Times New Roman" w:cs="Times New Roman"/>
          <w:i w:val="0"/>
          <w:iCs/>
        </w:rPr>
      </w:pPr>
      <w:r w:rsidRPr="009C4621">
        <w:rPr>
          <w:rFonts w:ascii="Times New Roman" w:hAnsi="Times New Roman" w:cs="Times New Roman"/>
          <w:i w:val="0"/>
          <w:iCs/>
        </w:rPr>
        <w:t>1.2 Theoretical Framework and Literature</w:t>
      </w:r>
    </w:p>
    <w:p w14:paraId="06568ABE" w14:textId="7F74F935" w:rsidR="009C4621" w:rsidRPr="007130E7" w:rsidRDefault="009C4621" w:rsidP="009C4621">
      <w:pPr>
        <w:spacing w:after="120" w:line="252" w:lineRule="auto"/>
        <w:jc w:val="both"/>
        <w:rPr>
          <w:rFonts w:cs="Times New Roman"/>
          <w:i w:val="0"/>
          <w:iCs/>
          <w:sz w:val="20"/>
          <w:szCs w:val="24"/>
        </w:rPr>
      </w:pPr>
      <w:r w:rsidRPr="007130E7">
        <w:rPr>
          <w:rFonts w:cs="Times New Roman"/>
          <w:i w:val="0"/>
          <w:iCs/>
          <w:sz w:val="20"/>
          <w:szCs w:val="24"/>
        </w:rPr>
        <w:t xml:space="preserve">The study is based on three theoretical frames that inform the method design and </w:t>
      </w:r>
      <w:proofErr w:type="spellStart"/>
      <w:r w:rsidRPr="007130E7">
        <w:rPr>
          <w:rFonts w:cs="Times New Roman"/>
          <w:i w:val="0"/>
          <w:iCs/>
          <w:sz w:val="20"/>
          <w:szCs w:val="24"/>
        </w:rPr>
        <w:t>interpretation.</w:t>
      </w:r>
      <w:proofErr w:type="spellEnd"/>
    </w:p>
    <w:p w14:paraId="6B851E3F" w14:textId="3A088FE2" w:rsidR="009C4621" w:rsidRPr="007130E7" w:rsidRDefault="009C4621" w:rsidP="009C4621">
      <w:pPr>
        <w:spacing w:after="120" w:line="252" w:lineRule="auto"/>
        <w:jc w:val="both"/>
        <w:rPr>
          <w:rFonts w:cs="Times New Roman"/>
          <w:i w:val="0"/>
          <w:iCs/>
          <w:sz w:val="20"/>
          <w:szCs w:val="24"/>
        </w:rPr>
      </w:pPr>
      <w:r w:rsidRPr="007130E7">
        <w:rPr>
          <w:rFonts w:cs="Times New Roman"/>
          <w:i w:val="0"/>
          <w:iCs/>
          <w:sz w:val="20"/>
          <w:szCs w:val="24"/>
        </w:rPr>
        <w:t xml:space="preserve">First, systemic risk measurement. Danielsson et al. [3] argue that for systemic risk, both sides have gone too far: the very complex structural models so beloved of policymakers generate more noise than light. According to the authors, “the simpler the better”: we need transparent and not model-heavy robustness. Motivated by this conjecture, we employ PCA to provide a non-parametric and </w:t>
      </w:r>
      <w:r w:rsidRPr="007130E7">
        <w:rPr>
          <w:rFonts w:cs="Times New Roman"/>
          <w:i w:val="0"/>
          <w:iCs/>
          <w:sz w:val="20"/>
          <w:szCs w:val="24"/>
        </w:rPr>
        <w:lastRenderedPageBreak/>
        <w:t xml:space="preserve">crude summary of the degree of integration in the S&amp;P 500. Intuitively, when a significant percentage of the total variance is accounted for by </w:t>
      </w:r>
      <w:r w:rsidRPr="007130E7">
        <w:rPr>
          <w:rFonts w:cs="Times New Roman"/>
          <w:i w:val="0"/>
          <w:iCs/>
          <w:sz w:val="20"/>
          <w:szCs w:val="24"/>
        </w:rPr>
        <w:t xml:space="preserve">the </w:t>
      </w:r>
      <w:r w:rsidRPr="007130E7">
        <w:rPr>
          <w:rFonts w:cs="Times New Roman"/>
          <w:i w:val="0"/>
          <w:iCs/>
          <w:sz w:val="20"/>
          <w:szCs w:val="24"/>
        </w:rPr>
        <w:t>first few principal components, there are very few common factors that influence most stock movements</w:t>
      </w:r>
      <w:r w:rsidRPr="007130E7">
        <w:rPr>
          <w:rFonts w:cs="Times New Roman"/>
          <w:i w:val="0"/>
          <w:iCs/>
          <w:sz w:val="20"/>
          <w:szCs w:val="24"/>
        </w:rPr>
        <w:t>,</w:t>
      </w:r>
      <w:r w:rsidRPr="007130E7">
        <w:rPr>
          <w:rFonts w:cs="Times New Roman"/>
          <w:i w:val="0"/>
          <w:iCs/>
          <w:sz w:val="20"/>
          <w:szCs w:val="24"/>
        </w:rPr>
        <w:t xml:space="preserve"> indicating strong market integration. These observed factors can be thought of as a reasonable data-based analogue to the multi-factor structure imagined in APT, without pre-specifying macroeconomic variables.</w:t>
      </w:r>
      <w:r w:rsidR="007130E7" w:rsidRPr="007130E7">
        <w:t xml:space="preserve"> </w:t>
      </w:r>
    </w:p>
    <w:p w14:paraId="5691B99C" w14:textId="479CE808" w:rsidR="009C4621" w:rsidRPr="007130E7" w:rsidRDefault="009C4621" w:rsidP="009C4621">
      <w:pPr>
        <w:spacing w:after="120" w:line="252" w:lineRule="auto"/>
        <w:jc w:val="both"/>
        <w:rPr>
          <w:rFonts w:cs="Times New Roman"/>
          <w:i w:val="0"/>
          <w:iCs/>
          <w:sz w:val="20"/>
          <w:szCs w:val="24"/>
        </w:rPr>
      </w:pPr>
      <w:r w:rsidRPr="007130E7">
        <w:rPr>
          <w:rFonts w:cs="Times New Roman"/>
          <w:i w:val="0"/>
          <w:iCs/>
          <w:sz w:val="20"/>
          <w:szCs w:val="24"/>
        </w:rPr>
        <w:t>Second, regime switching and non-stationarity. An expansive literature has also model</w:t>
      </w:r>
      <w:r w:rsidR="002C404E">
        <w:rPr>
          <w:rFonts w:cs="Times New Roman"/>
          <w:i w:val="0"/>
          <w:iCs/>
          <w:sz w:val="20"/>
          <w:szCs w:val="24"/>
        </w:rPr>
        <w:t>l</w:t>
      </w:r>
      <w:r w:rsidRPr="007130E7">
        <w:rPr>
          <w:rFonts w:cs="Times New Roman"/>
          <w:i w:val="0"/>
          <w:iCs/>
          <w:sz w:val="20"/>
          <w:szCs w:val="24"/>
        </w:rPr>
        <w:t xml:space="preserve">ed financial markets as systems that transition between regimes (in the spirit of “calm” versus “crisis”), typically using Markov-switching or related approaches [2]. The underlying lesson of such literature is that markets are non-stationary: asset relationships change over time, particularly in the proximity of stress events. Consistent with this interpretation, we use a rolling PCA method. Rather than estimating a single fixed set of eigenvalues and eigenvectors for the entire 2019–2024 sample, we iteratively re-estimate PCA on overlapping windows. This provides us with a means to monitor the evolution of the chief drivers and their explanatory power over </w:t>
      </w:r>
      <w:r w:rsidR="002C404E">
        <w:rPr>
          <w:rFonts w:cs="Times New Roman"/>
          <w:i w:val="0"/>
          <w:iCs/>
          <w:sz w:val="20"/>
          <w:szCs w:val="24"/>
        </w:rPr>
        <w:t xml:space="preserve">the </w:t>
      </w:r>
      <w:r w:rsidRPr="007130E7">
        <w:rPr>
          <w:rFonts w:cs="Times New Roman"/>
          <w:i w:val="0"/>
          <w:iCs/>
          <w:sz w:val="20"/>
          <w:szCs w:val="24"/>
        </w:rPr>
        <w:t>COVID-19 crisis and post-crisis episodes, delivering a dynamic image of integration and correlation collapse.</w:t>
      </w:r>
    </w:p>
    <w:p w14:paraId="0FA35596" w14:textId="5979557F" w:rsidR="00413509" w:rsidRDefault="009C4621" w:rsidP="009C4621">
      <w:pPr>
        <w:spacing w:after="120" w:line="252" w:lineRule="auto"/>
        <w:jc w:val="both"/>
        <w:rPr>
          <w:rFonts w:cs="Times New Roman"/>
          <w:i w:val="0"/>
          <w:iCs/>
          <w:sz w:val="20"/>
          <w:szCs w:val="24"/>
        </w:rPr>
      </w:pPr>
      <w:r w:rsidRPr="007130E7">
        <w:rPr>
          <w:rFonts w:cs="Times New Roman"/>
          <w:i w:val="0"/>
          <w:iCs/>
          <w:sz w:val="20"/>
          <w:szCs w:val="24"/>
        </w:rPr>
        <w:t>Third, advanced portfolio construction. Following Markowitz’</w:t>
      </w:r>
      <w:r w:rsidRPr="007130E7">
        <w:rPr>
          <w:rFonts w:cs="Times New Roman"/>
          <w:i w:val="0"/>
          <w:iCs/>
          <w:sz w:val="20"/>
          <w:szCs w:val="24"/>
        </w:rPr>
        <w:t>s</w:t>
      </w:r>
      <w:r w:rsidRPr="007130E7">
        <w:rPr>
          <w:rFonts w:cs="Times New Roman"/>
          <w:i w:val="0"/>
          <w:iCs/>
          <w:sz w:val="20"/>
          <w:szCs w:val="24"/>
        </w:rPr>
        <w:t xml:space="preserve"> original work on mean–variance </w:t>
      </w:r>
      <w:proofErr w:type="spellStart"/>
      <w:r w:rsidRPr="007130E7">
        <w:rPr>
          <w:rFonts w:cs="Times New Roman"/>
          <w:i w:val="0"/>
          <w:iCs/>
          <w:sz w:val="20"/>
          <w:szCs w:val="24"/>
        </w:rPr>
        <w:t>optimisation</w:t>
      </w:r>
      <w:proofErr w:type="spellEnd"/>
      <w:r w:rsidRPr="007130E7">
        <w:rPr>
          <w:rFonts w:cs="Times New Roman"/>
          <w:i w:val="0"/>
          <w:iCs/>
          <w:sz w:val="20"/>
          <w:szCs w:val="24"/>
        </w:rPr>
        <w:t xml:space="preserve"> [7], what is nowadays called portfolio theory has been developed in many directions, ranging from sector-level allocation [8] to the more recent inclusion of climate and sustainability constraints into the </w:t>
      </w:r>
      <w:proofErr w:type="spellStart"/>
      <w:r w:rsidRPr="007130E7">
        <w:rPr>
          <w:rFonts w:cs="Times New Roman"/>
          <w:i w:val="0"/>
          <w:iCs/>
          <w:sz w:val="20"/>
          <w:szCs w:val="24"/>
        </w:rPr>
        <w:t>optimisation</w:t>
      </w:r>
      <w:proofErr w:type="spellEnd"/>
      <w:r w:rsidRPr="007130E7">
        <w:rPr>
          <w:rFonts w:cs="Times New Roman"/>
          <w:i w:val="0"/>
          <w:iCs/>
          <w:sz w:val="20"/>
          <w:szCs w:val="24"/>
        </w:rPr>
        <w:t xml:space="preserve"> problem [9]. A common demand in these extensions is a reasonable way of aggregating assets for the purpose of forming portfolios. In this paper, we form such groups directly from the data using </w:t>
      </w:r>
      <w:r w:rsidR="00720AEB">
        <w:rPr>
          <w:rFonts w:cs="Times New Roman"/>
          <w:i w:val="0"/>
          <w:iCs/>
          <w:sz w:val="20"/>
          <w:szCs w:val="24"/>
        </w:rPr>
        <w:t xml:space="preserve">K-means </w:t>
      </w:r>
      <w:proofErr w:type="gramStart"/>
      <w:r w:rsidR="00720AEB">
        <w:rPr>
          <w:rFonts w:cs="Times New Roman"/>
          <w:i w:val="0"/>
          <w:iCs/>
          <w:sz w:val="20"/>
          <w:szCs w:val="24"/>
        </w:rPr>
        <w:t>clustering</w:t>
      </w:r>
      <w:r w:rsidRPr="007130E7">
        <w:rPr>
          <w:rFonts w:cs="Times New Roman"/>
          <w:i w:val="0"/>
          <w:iCs/>
          <w:sz w:val="20"/>
          <w:szCs w:val="24"/>
        </w:rPr>
        <w:t>:</w:t>
      </w:r>
      <w:proofErr w:type="gramEnd"/>
      <w:r w:rsidRPr="007130E7">
        <w:rPr>
          <w:rFonts w:cs="Times New Roman"/>
          <w:i w:val="0"/>
          <w:iCs/>
          <w:sz w:val="20"/>
          <w:szCs w:val="24"/>
        </w:rPr>
        <w:t xml:space="preserve"> stocks with similar factor loadings and correlation profiles are assigned to be in the same cluster. These statistically defined clusters are used as the kernel portfolios to construct efficient frontiers and check if cluster-based portfolios can perform better than naive benchmarks on a risk</w:t>
      </w:r>
      <w:r w:rsidR="002C404E">
        <w:rPr>
          <w:rFonts w:cs="Times New Roman"/>
          <w:i w:val="0"/>
          <w:iCs/>
          <w:sz w:val="20"/>
          <w:szCs w:val="24"/>
        </w:rPr>
        <w:t>-</w:t>
      </w:r>
      <w:r w:rsidRPr="007130E7">
        <w:rPr>
          <w:rFonts w:cs="Times New Roman"/>
          <w:i w:val="0"/>
          <w:iCs/>
          <w:sz w:val="20"/>
          <w:szCs w:val="24"/>
        </w:rPr>
        <w:t>adjusted basis. Moreover, all return data and covariance inputs are produced via market prices derived from the Yahoo Finance API [10], guaranteeing that the empirical findings can be both transparently reproduced</w:t>
      </w:r>
      <w:r w:rsidR="00000000" w:rsidRPr="007130E7">
        <w:rPr>
          <w:rFonts w:cs="Times New Roman"/>
          <w:i w:val="0"/>
          <w:iCs/>
          <w:sz w:val="20"/>
          <w:szCs w:val="24"/>
        </w:rPr>
        <w:t>.</w:t>
      </w:r>
    </w:p>
    <w:p w14:paraId="7E01BA88" w14:textId="77777777" w:rsidR="00EB0D2F" w:rsidRDefault="00EB0D2F" w:rsidP="002C404E">
      <w:pPr>
        <w:spacing w:after="120" w:line="252" w:lineRule="auto"/>
        <w:jc w:val="both"/>
        <w:rPr>
          <w:rFonts w:cs="Times New Roman"/>
          <w:i w:val="0"/>
          <w:iCs/>
          <w:sz w:val="20"/>
          <w:szCs w:val="24"/>
        </w:rPr>
      </w:pPr>
      <w:r w:rsidRPr="00EB0D2F">
        <w:rPr>
          <w:rFonts w:cs="Times New Roman"/>
          <w:i w:val="0"/>
          <w:iCs/>
          <w:sz w:val="20"/>
          <w:szCs w:val="24"/>
        </w:rPr>
        <w:t>This study is guided by three basic questions:</w:t>
      </w:r>
      <w:r w:rsidRPr="00EB0D2F">
        <w:rPr>
          <w:rFonts w:cs="Times New Roman"/>
          <w:i w:val="0"/>
          <w:iCs/>
          <w:sz w:val="20"/>
          <w:szCs w:val="24"/>
        </w:rPr>
        <w:t xml:space="preserve"> </w:t>
      </w:r>
    </w:p>
    <w:p w14:paraId="2A1ADF30" w14:textId="71ECB5F0" w:rsidR="002C404E" w:rsidRPr="002C404E" w:rsidRDefault="002C404E" w:rsidP="002C404E">
      <w:pPr>
        <w:spacing w:after="120" w:line="252" w:lineRule="auto"/>
        <w:jc w:val="both"/>
        <w:rPr>
          <w:rFonts w:cs="Times New Roman"/>
          <w:i w:val="0"/>
          <w:iCs/>
          <w:sz w:val="20"/>
          <w:szCs w:val="24"/>
        </w:rPr>
      </w:pPr>
      <w:r w:rsidRPr="002C404E">
        <w:rPr>
          <w:rFonts w:cs="Times New Roman"/>
          <w:sz w:val="20"/>
          <w:szCs w:val="24"/>
          <w:lang w:val="en-GB" w:eastAsia="zh-TW"/>
        </w:rPr>
        <w:t>(1) How interconnected is the S&amp;P 500, and which stocks contribute</w:t>
      </w:r>
      <w:r w:rsidR="00EB0D2F">
        <w:rPr>
          <w:rFonts w:cs="Times New Roman"/>
          <w:sz w:val="20"/>
          <w:szCs w:val="24"/>
          <w:lang w:val="en-GB" w:eastAsia="zh-TW"/>
        </w:rPr>
        <w:t xml:space="preserve"> most</w:t>
      </w:r>
      <w:r w:rsidRPr="002C404E">
        <w:rPr>
          <w:rFonts w:cs="Times New Roman"/>
          <w:sz w:val="20"/>
          <w:szCs w:val="24"/>
          <w:lang w:val="en-GB" w:eastAsia="zh-TW"/>
        </w:rPr>
        <w:t xml:space="preserve"> to its systemic risk?</w:t>
      </w:r>
    </w:p>
    <w:p w14:paraId="322506CF" w14:textId="7B6C650C" w:rsidR="002C404E" w:rsidRPr="002C404E" w:rsidRDefault="002C404E" w:rsidP="002C404E">
      <w:pPr>
        <w:spacing w:after="120" w:line="252" w:lineRule="auto"/>
        <w:jc w:val="both"/>
        <w:rPr>
          <w:rFonts w:cs="Times New Roman"/>
          <w:sz w:val="20"/>
          <w:szCs w:val="24"/>
          <w:lang w:val="en-GB" w:eastAsia="zh-TW"/>
        </w:rPr>
      </w:pPr>
      <w:r w:rsidRPr="002C404E">
        <w:rPr>
          <w:rFonts w:cs="Times New Roman"/>
          <w:sz w:val="20"/>
          <w:szCs w:val="24"/>
          <w:lang w:val="en-GB" w:eastAsia="zh-TW"/>
        </w:rPr>
        <w:t xml:space="preserve">(2) How </w:t>
      </w:r>
      <w:r>
        <w:rPr>
          <w:rFonts w:cs="Times New Roman"/>
          <w:sz w:val="20"/>
          <w:szCs w:val="24"/>
          <w:lang w:val="en-GB" w:eastAsia="zh-TW"/>
        </w:rPr>
        <w:t xml:space="preserve">do </w:t>
      </w:r>
      <w:r w:rsidRPr="002C404E">
        <w:rPr>
          <w:rFonts w:cs="Times New Roman"/>
          <w:sz w:val="20"/>
          <w:szCs w:val="24"/>
          <w:lang w:val="en-GB" w:eastAsia="zh-TW"/>
        </w:rPr>
        <w:t xml:space="preserve">the correlation structures change between tranquil and turbulent time periods, </w:t>
      </w:r>
      <w:proofErr w:type="gramStart"/>
      <w:r w:rsidR="00EB0D2F">
        <w:t>in particular during</w:t>
      </w:r>
      <w:proofErr w:type="gramEnd"/>
      <w:r w:rsidR="00EB0D2F">
        <w:t xml:space="preserve"> </w:t>
      </w:r>
      <w:r>
        <w:rPr>
          <w:rFonts w:cs="Times New Roman"/>
          <w:sz w:val="20"/>
          <w:szCs w:val="24"/>
          <w:lang w:val="en-GB" w:eastAsia="zh-TW"/>
        </w:rPr>
        <w:t xml:space="preserve">the </w:t>
      </w:r>
      <w:r w:rsidRPr="002C404E">
        <w:rPr>
          <w:rFonts w:cs="Times New Roman"/>
          <w:sz w:val="20"/>
          <w:szCs w:val="24"/>
          <w:lang w:val="en-GB" w:eastAsia="zh-TW"/>
        </w:rPr>
        <w:t>COVID-19 crash?</w:t>
      </w:r>
    </w:p>
    <w:p w14:paraId="3797159F" w14:textId="518311AF" w:rsidR="002C404E" w:rsidRPr="002C404E" w:rsidRDefault="002C404E" w:rsidP="002C404E">
      <w:pPr>
        <w:spacing w:after="120" w:line="252" w:lineRule="auto"/>
        <w:jc w:val="both"/>
        <w:rPr>
          <w:rFonts w:cs="Times New Roman"/>
          <w:sz w:val="20"/>
          <w:szCs w:val="24"/>
          <w:lang w:val="en-GB" w:eastAsia="zh-TW"/>
        </w:rPr>
      </w:pPr>
      <w:r w:rsidRPr="002C404E">
        <w:rPr>
          <w:rFonts w:cs="Times New Roman"/>
          <w:sz w:val="20"/>
          <w:szCs w:val="24"/>
          <w:lang w:val="en-GB" w:eastAsia="zh-TW"/>
        </w:rPr>
        <w:t>(3) Can portfolios of data-driven clusters outperform naive diversification as measured by the quality of the risk–return trade-off?</w:t>
      </w:r>
    </w:p>
    <w:p w14:paraId="08171B1C" w14:textId="77777777" w:rsidR="00413509" w:rsidRPr="00BC7D76" w:rsidRDefault="00000000">
      <w:pPr>
        <w:pStyle w:val="Heading1"/>
        <w:spacing w:before="240" w:after="120"/>
        <w:rPr>
          <w:rFonts w:ascii="Times New Roman" w:hAnsi="Times New Roman" w:cs="Times New Roman"/>
        </w:rPr>
      </w:pPr>
      <w:r w:rsidRPr="00BC7D76">
        <w:rPr>
          <w:rFonts w:ascii="Times New Roman" w:hAnsi="Times New Roman" w:cs="Times New Roman"/>
        </w:rPr>
        <w:t>2. Data Engineering and Preprocessing Pipeline</w:t>
      </w:r>
    </w:p>
    <w:p w14:paraId="069970E7" w14:textId="7DCE9BDD" w:rsidR="00F34963" w:rsidRPr="007130E7" w:rsidRDefault="00F34963" w:rsidP="00F34963">
      <w:pPr>
        <w:pStyle w:val="Heading2"/>
        <w:spacing w:before="120" w:after="80"/>
        <w:rPr>
          <w:rFonts w:ascii="Times New Roman" w:eastAsiaTheme="minorEastAsia" w:hAnsi="Times New Roman" w:cs="Times New Roman"/>
          <w:b w:val="0"/>
          <w:bCs w:val="0"/>
          <w:i w:val="0"/>
          <w:iCs/>
          <w:color w:val="auto"/>
          <w:sz w:val="20"/>
          <w:szCs w:val="24"/>
        </w:rPr>
      </w:pPr>
      <w:r w:rsidRPr="007130E7">
        <w:rPr>
          <w:rFonts w:ascii="Times New Roman" w:eastAsiaTheme="minorEastAsia" w:hAnsi="Times New Roman" w:cs="Times New Roman"/>
          <w:b w:val="0"/>
          <w:bCs w:val="0"/>
          <w:i w:val="0"/>
          <w:iCs/>
          <w:color w:val="auto"/>
          <w:sz w:val="20"/>
          <w:szCs w:val="24"/>
        </w:rPr>
        <w:t>Trustworthy quantitative work</w:t>
      </w:r>
      <w:r w:rsidR="00EB0D2F">
        <w:rPr>
          <w:rFonts w:ascii="Times New Roman" w:eastAsiaTheme="minorEastAsia" w:hAnsi="Times New Roman" w:cs="Times New Roman"/>
          <w:b w:val="0"/>
          <w:bCs w:val="0"/>
          <w:i w:val="0"/>
          <w:iCs/>
          <w:color w:val="auto"/>
          <w:sz w:val="20"/>
          <w:szCs w:val="24"/>
        </w:rPr>
        <w:t xml:space="preserve"> </w:t>
      </w:r>
      <w:r w:rsidRPr="007130E7">
        <w:rPr>
          <w:rFonts w:ascii="Times New Roman" w:eastAsiaTheme="minorEastAsia" w:hAnsi="Times New Roman" w:cs="Times New Roman"/>
          <w:b w:val="0"/>
          <w:bCs w:val="0"/>
          <w:i w:val="0"/>
          <w:iCs/>
          <w:color w:val="auto"/>
          <w:sz w:val="20"/>
          <w:szCs w:val="24"/>
        </w:rPr>
        <w:t>does</w:t>
      </w:r>
      <w:r w:rsidR="00720AEB">
        <w:rPr>
          <w:rFonts w:ascii="Times New Roman" w:eastAsiaTheme="minorEastAsia" w:hAnsi="Times New Roman" w:cs="Times New Roman"/>
          <w:b w:val="0"/>
          <w:bCs w:val="0"/>
          <w:i w:val="0"/>
          <w:iCs/>
          <w:color w:val="auto"/>
          <w:sz w:val="20"/>
          <w:szCs w:val="24"/>
        </w:rPr>
        <w:t xml:space="preserve"> not</w:t>
      </w:r>
      <w:r w:rsidRPr="007130E7">
        <w:rPr>
          <w:rFonts w:ascii="Times New Roman" w:eastAsiaTheme="minorEastAsia" w:hAnsi="Times New Roman" w:cs="Times New Roman"/>
          <w:b w:val="0"/>
          <w:bCs w:val="0"/>
          <w:i w:val="0"/>
          <w:iCs/>
          <w:color w:val="auto"/>
          <w:sz w:val="20"/>
          <w:szCs w:val="24"/>
        </w:rPr>
        <w:t xml:space="preserve"> begin with models; it begins with clean and clearly defined data. In this work, the raw dataset is constructed by using the daily adjusted closing prices for all S&amp;P 500 index components, obtained through Yahoo Finance API [10]. The sample period spans from 1 January 2019 to 31 December 2024, featuring a complete business cycle starting with the pre-COVID boom phase and covering the crash of 2020, the initial rebound from COVID-19, and finally </w:t>
      </w:r>
      <w:proofErr w:type="gramStart"/>
      <w:r w:rsidRPr="007130E7">
        <w:rPr>
          <w:rFonts w:ascii="Times New Roman" w:eastAsiaTheme="minorEastAsia" w:hAnsi="Times New Roman" w:cs="Times New Roman"/>
          <w:b w:val="0"/>
          <w:bCs w:val="0"/>
          <w:i w:val="0"/>
          <w:iCs/>
          <w:color w:val="auto"/>
          <w:sz w:val="20"/>
          <w:szCs w:val="24"/>
        </w:rPr>
        <w:t>entering into</w:t>
      </w:r>
      <w:proofErr w:type="gramEnd"/>
      <w:r w:rsidRPr="007130E7">
        <w:rPr>
          <w:rFonts w:ascii="Times New Roman" w:eastAsiaTheme="minorEastAsia" w:hAnsi="Times New Roman" w:cs="Times New Roman"/>
          <w:b w:val="0"/>
          <w:bCs w:val="0"/>
          <w:i w:val="0"/>
          <w:iCs/>
          <w:color w:val="auto"/>
          <w:sz w:val="20"/>
          <w:szCs w:val="24"/>
        </w:rPr>
        <w:t xml:space="preserve"> the new environment marked by regime shifts in inflation rates and interest rates. This large window </w:t>
      </w:r>
      <w:r w:rsidR="003C01A1" w:rsidRPr="003C01A1">
        <w:rPr>
          <w:rFonts w:ascii="Times New Roman" w:eastAsiaTheme="minorEastAsia" w:hAnsi="Times New Roman" w:cs="Times New Roman"/>
          <w:b w:val="0"/>
          <w:bCs w:val="0"/>
          <w:i w:val="0"/>
          <w:iCs/>
          <w:color w:val="auto"/>
          <w:sz w:val="20"/>
          <w:szCs w:val="24"/>
        </w:rPr>
        <w:t>ensures</w:t>
      </w:r>
      <w:r w:rsidR="003C01A1">
        <w:rPr>
          <w:rFonts w:ascii="Times New Roman" w:eastAsiaTheme="minorEastAsia" w:hAnsi="Times New Roman" w:cs="Times New Roman"/>
          <w:b w:val="0"/>
          <w:bCs w:val="0"/>
          <w:i w:val="0"/>
          <w:iCs/>
          <w:color w:val="auto"/>
          <w:sz w:val="20"/>
          <w:szCs w:val="24"/>
        </w:rPr>
        <w:t xml:space="preserve"> </w:t>
      </w:r>
      <w:r w:rsidRPr="007130E7">
        <w:rPr>
          <w:rFonts w:ascii="Times New Roman" w:eastAsiaTheme="minorEastAsia" w:hAnsi="Times New Roman" w:cs="Times New Roman"/>
          <w:b w:val="0"/>
          <w:bCs w:val="0"/>
          <w:i w:val="0"/>
          <w:iCs/>
          <w:color w:val="auto"/>
          <w:sz w:val="20"/>
          <w:szCs w:val="24"/>
        </w:rPr>
        <w:t>that our results are not caused by just one “special” year.</w:t>
      </w:r>
    </w:p>
    <w:p w14:paraId="7C620B57" w14:textId="16783574" w:rsidR="00F34963" w:rsidRPr="007130E7" w:rsidRDefault="00F34963" w:rsidP="00F34963">
      <w:pPr>
        <w:pStyle w:val="Heading2"/>
        <w:spacing w:before="120" w:after="80"/>
        <w:rPr>
          <w:rFonts w:ascii="Times New Roman" w:eastAsiaTheme="minorEastAsia" w:hAnsi="Times New Roman" w:cs="Times New Roman"/>
          <w:b w:val="0"/>
          <w:bCs w:val="0"/>
          <w:i w:val="0"/>
          <w:iCs/>
          <w:color w:val="auto"/>
          <w:sz w:val="20"/>
          <w:szCs w:val="24"/>
          <w:lang w:eastAsia="zh-TW"/>
        </w:rPr>
      </w:pPr>
      <w:r w:rsidRPr="007130E7">
        <w:rPr>
          <w:rFonts w:ascii="Times New Roman" w:eastAsiaTheme="minorEastAsia" w:hAnsi="Times New Roman" w:cs="Times New Roman"/>
          <w:b w:val="0"/>
          <w:bCs w:val="0"/>
          <w:i w:val="0"/>
          <w:iCs/>
          <w:color w:val="auto"/>
          <w:sz w:val="20"/>
          <w:szCs w:val="24"/>
        </w:rPr>
        <w:t xml:space="preserve">But financial time series at that scale are </w:t>
      </w:r>
      <w:r w:rsidR="003C01A1" w:rsidRPr="003C01A1">
        <w:rPr>
          <w:rFonts w:ascii="Times New Roman" w:eastAsiaTheme="minorEastAsia" w:hAnsi="Times New Roman" w:cs="Times New Roman"/>
          <w:b w:val="0"/>
          <w:bCs w:val="0"/>
          <w:i w:val="0"/>
          <w:iCs/>
          <w:color w:val="auto"/>
          <w:sz w:val="20"/>
          <w:szCs w:val="24"/>
        </w:rPr>
        <w:t>rarely complete</w:t>
      </w:r>
      <w:r w:rsidRPr="007130E7">
        <w:rPr>
          <w:rFonts w:ascii="Times New Roman" w:eastAsiaTheme="minorEastAsia" w:hAnsi="Times New Roman" w:cs="Times New Roman"/>
          <w:b w:val="0"/>
          <w:bCs w:val="0"/>
          <w:i w:val="0"/>
          <w:iCs/>
          <w:color w:val="auto"/>
          <w:sz w:val="20"/>
          <w:szCs w:val="24"/>
        </w:rPr>
        <w:t xml:space="preserve">. Due to market holidays, ticker changes, </w:t>
      </w:r>
      <w:proofErr w:type="spellStart"/>
      <w:r w:rsidRPr="007130E7">
        <w:rPr>
          <w:rFonts w:ascii="Times New Roman" w:eastAsiaTheme="minorEastAsia" w:hAnsi="Times New Roman" w:cs="Times New Roman"/>
          <w:b w:val="0"/>
          <w:bCs w:val="0"/>
          <w:i w:val="0"/>
          <w:iCs/>
          <w:color w:val="auto"/>
          <w:sz w:val="20"/>
          <w:szCs w:val="24"/>
        </w:rPr>
        <w:t>delistings</w:t>
      </w:r>
      <w:proofErr w:type="spellEnd"/>
      <w:r w:rsidRPr="007130E7">
        <w:rPr>
          <w:rFonts w:ascii="Times New Roman" w:eastAsiaTheme="minorEastAsia" w:hAnsi="Times New Roman" w:cs="Times New Roman"/>
          <w:b w:val="0"/>
          <w:bCs w:val="0"/>
          <w:i w:val="0"/>
          <w:iCs/>
          <w:color w:val="auto"/>
          <w:sz w:val="20"/>
          <w:szCs w:val="24"/>
        </w:rPr>
        <w:t xml:space="preserve">, stock splits, or other more mundane reasons, such as API failure, real-world datasets often have missing prices. If we simply pass such raw data to PCA directly for clustering analysis, the resulting covariance and correlation matrices may be seriously expanded, causing misleading “factors” representing data problems rather than the structure of the real market. This is why having a transparent, predictable and systematic data engineering pipeline is </w:t>
      </w:r>
      <w:r w:rsidR="003C01A1" w:rsidRPr="003C01A1">
        <w:rPr>
          <w:rFonts w:ascii="Times New Roman" w:eastAsiaTheme="minorEastAsia" w:hAnsi="Times New Roman" w:cs="Times New Roman"/>
          <w:b w:val="0"/>
          <w:bCs w:val="0"/>
          <w:i w:val="0"/>
          <w:iCs/>
          <w:color w:val="auto"/>
          <w:sz w:val="20"/>
          <w:szCs w:val="24"/>
        </w:rPr>
        <w:t>crucial</w:t>
      </w:r>
      <w:r w:rsidR="003C01A1">
        <w:rPr>
          <w:rFonts w:ascii="Times New Roman" w:eastAsiaTheme="minorEastAsia" w:hAnsi="Times New Roman" w:cs="Times New Roman"/>
          <w:b w:val="0"/>
          <w:bCs w:val="0"/>
          <w:i w:val="0"/>
          <w:iCs/>
          <w:color w:val="auto"/>
          <w:sz w:val="20"/>
          <w:szCs w:val="24"/>
        </w:rPr>
        <w:t>.</w:t>
      </w:r>
    </w:p>
    <w:p w14:paraId="29FEC93F" w14:textId="6B15A8F4" w:rsidR="00F34963" w:rsidRPr="00F34963" w:rsidRDefault="00000000" w:rsidP="00F34963">
      <w:pPr>
        <w:pStyle w:val="Heading2"/>
        <w:spacing w:before="120" w:after="80"/>
        <w:rPr>
          <w:rFonts w:ascii="Times New Roman" w:hAnsi="Times New Roman" w:cs="Times New Roman"/>
          <w:lang w:eastAsia="zh-TW"/>
        </w:rPr>
      </w:pPr>
      <w:r w:rsidRPr="00BC7D76">
        <w:rPr>
          <w:rFonts w:ascii="Times New Roman" w:hAnsi="Times New Roman" w:cs="Times New Roman"/>
        </w:rPr>
        <w:t>2.1 Data Cleaning Logic</w:t>
      </w:r>
    </w:p>
    <w:p w14:paraId="0F05075F" w14:textId="0C992A76" w:rsidR="00413509" w:rsidRPr="007130E7" w:rsidRDefault="00F34963" w:rsidP="00F34963">
      <w:pPr>
        <w:spacing w:after="120" w:line="252" w:lineRule="auto"/>
        <w:jc w:val="both"/>
        <w:rPr>
          <w:rFonts w:cs="Times New Roman"/>
          <w:i w:val="0"/>
          <w:iCs/>
          <w:sz w:val="20"/>
          <w:szCs w:val="20"/>
        </w:rPr>
      </w:pPr>
      <w:r w:rsidRPr="007130E7">
        <w:rPr>
          <w:rFonts w:cs="Times New Roman"/>
          <w:i w:val="0"/>
          <w:iCs/>
          <w:sz w:val="20"/>
          <w:szCs w:val="24"/>
        </w:rPr>
        <w:t>Our data cleaning procedure follows two simple principles:</w:t>
      </w:r>
      <w:r w:rsidRPr="007130E7">
        <w:rPr>
          <w:rFonts w:cs="Times New Roman"/>
          <w:i w:val="0"/>
          <w:iCs/>
          <w:sz w:val="20"/>
          <w:szCs w:val="24"/>
        </w:rPr>
        <w:t xml:space="preserve"> </w:t>
      </w:r>
      <w:r w:rsidRPr="007130E7">
        <w:rPr>
          <w:rFonts w:cs="Times New Roman"/>
          <w:i w:val="0"/>
          <w:iCs/>
          <w:sz w:val="20"/>
          <w:szCs w:val="24"/>
        </w:rPr>
        <w:t>Remove assets that are mostly missing.</w:t>
      </w:r>
      <w:r w:rsidRPr="007130E7">
        <w:rPr>
          <w:rFonts w:cs="Times New Roman"/>
          <w:i w:val="0"/>
          <w:iCs/>
          <w:sz w:val="20"/>
          <w:szCs w:val="24"/>
        </w:rPr>
        <w:t xml:space="preserve"> </w:t>
      </w:r>
      <w:r w:rsidRPr="007130E7">
        <w:rPr>
          <w:rFonts w:cs="Times New Roman"/>
          <w:i w:val="0"/>
          <w:iCs/>
          <w:sz w:val="20"/>
          <w:szCs w:val="24"/>
        </w:rPr>
        <w:t xml:space="preserve">Repair small gaps in a way that </w:t>
      </w:r>
      <w:r w:rsidRPr="007130E7">
        <w:rPr>
          <w:rFonts w:cs="Times New Roman"/>
          <w:i w:val="0"/>
          <w:iCs/>
          <w:sz w:val="20"/>
          <w:szCs w:val="20"/>
        </w:rPr>
        <w:t>respects financial reality.</w:t>
      </w:r>
      <w:r w:rsidRPr="007130E7">
        <w:rPr>
          <w:rFonts w:cs="Times New Roman"/>
          <w:i w:val="0"/>
          <w:iCs/>
          <w:sz w:val="20"/>
          <w:szCs w:val="20"/>
        </w:rPr>
        <w:t xml:space="preserve"> </w:t>
      </w:r>
      <w:r w:rsidRPr="007130E7">
        <w:rPr>
          <w:rFonts w:cs="Times New Roman"/>
          <w:i w:val="0"/>
          <w:iCs/>
          <w:sz w:val="20"/>
          <w:szCs w:val="20"/>
        </w:rPr>
        <w:t xml:space="preserve">In Python, the logic can be </w:t>
      </w:r>
      <w:proofErr w:type="spellStart"/>
      <w:r w:rsidRPr="007130E7">
        <w:rPr>
          <w:rFonts w:cs="Times New Roman"/>
          <w:i w:val="0"/>
          <w:iCs/>
          <w:sz w:val="20"/>
          <w:szCs w:val="20"/>
        </w:rPr>
        <w:t>summarised</w:t>
      </w:r>
      <w:proofErr w:type="spellEnd"/>
      <w:r w:rsidRPr="007130E7">
        <w:rPr>
          <w:rFonts w:cs="Times New Roman"/>
          <w:i w:val="0"/>
          <w:iCs/>
          <w:sz w:val="20"/>
          <w:szCs w:val="20"/>
        </w:rPr>
        <w:t xml:space="preserve"> as</w:t>
      </w:r>
      <w:r w:rsidRPr="007130E7">
        <w:rPr>
          <w:rFonts w:cs="Times New Roman"/>
          <w:i w:val="0"/>
          <w:iCs/>
          <w:sz w:val="20"/>
          <w:szCs w:val="20"/>
        </w:rPr>
        <w:t>:</w:t>
      </w:r>
    </w:p>
    <w:p w14:paraId="4EF878D1" w14:textId="77777777" w:rsidR="00413509" w:rsidRPr="007130E7" w:rsidRDefault="00000000">
      <w:pPr>
        <w:spacing w:after="40" w:line="240" w:lineRule="auto"/>
        <w:ind w:left="567"/>
        <w:rPr>
          <w:rFonts w:cs="Times New Roman"/>
          <w:sz w:val="20"/>
          <w:szCs w:val="20"/>
        </w:rPr>
      </w:pPr>
      <w:r w:rsidRPr="007130E7">
        <w:rPr>
          <w:rFonts w:cs="Times New Roman"/>
          <w:color w:val="003264"/>
          <w:sz w:val="20"/>
          <w:szCs w:val="20"/>
        </w:rPr>
        <w:t># Python Implementation: Data Cleaning</w:t>
      </w:r>
      <w:r w:rsidRPr="007130E7">
        <w:rPr>
          <w:rFonts w:cs="Times New Roman"/>
          <w:color w:val="003264"/>
          <w:sz w:val="20"/>
          <w:szCs w:val="20"/>
        </w:rPr>
        <w:br/>
        <w:t>threshold = 0.1 * len(df_prices)</w:t>
      </w:r>
      <w:r w:rsidRPr="007130E7">
        <w:rPr>
          <w:rFonts w:cs="Times New Roman"/>
          <w:color w:val="003264"/>
          <w:sz w:val="20"/>
          <w:szCs w:val="20"/>
        </w:rPr>
        <w:br/>
        <w:t># Step 1: Drop stocks with &gt;10% missing data (e.g., recent IPOs)</w:t>
      </w:r>
      <w:r w:rsidRPr="007130E7">
        <w:rPr>
          <w:rFonts w:cs="Times New Roman"/>
          <w:color w:val="003264"/>
          <w:sz w:val="20"/>
          <w:szCs w:val="20"/>
        </w:rPr>
        <w:br/>
        <w:t>df_clean = df_prices.dropna(thresh=len(df_prices) - threshold, axis=1)</w:t>
      </w:r>
      <w:r w:rsidRPr="007130E7">
        <w:rPr>
          <w:rFonts w:cs="Times New Roman"/>
          <w:color w:val="003264"/>
          <w:sz w:val="20"/>
          <w:szCs w:val="20"/>
        </w:rPr>
        <w:br/>
        <w:t># Step 2: Forward-fill to handle minor gaps, preserving market reality</w:t>
      </w:r>
      <w:r w:rsidRPr="007130E7">
        <w:rPr>
          <w:rFonts w:cs="Times New Roman"/>
          <w:color w:val="003264"/>
          <w:sz w:val="20"/>
          <w:szCs w:val="20"/>
        </w:rPr>
        <w:br/>
        <w:t>df_final = df_clean.ffill().dropna()</w:t>
      </w:r>
    </w:p>
    <w:p w14:paraId="45E44F70" w14:textId="32628BBA" w:rsidR="00496722" w:rsidRPr="007130E7" w:rsidRDefault="003C01A1" w:rsidP="003C01A1">
      <w:pPr>
        <w:tabs>
          <w:tab w:val="center" w:pos="5270"/>
          <w:tab w:val="left" w:pos="8049"/>
        </w:tabs>
        <w:spacing w:after="240"/>
        <w:rPr>
          <w:rFonts w:cs="Times New Roman"/>
          <w:sz w:val="20"/>
          <w:szCs w:val="20"/>
        </w:rPr>
      </w:pPr>
      <w:r>
        <w:rPr>
          <w:rFonts w:cs="Times New Roman"/>
          <w:sz w:val="20"/>
          <w:szCs w:val="20"/>
        </w:rPr>
        <w:tab/>
      </w:r>
      <w:r w:rsidR="00000000" w:rsidRPr="007130E7">
        <w:rPr>
          <w:rFonts w:cs="Times New Roman"/>
          <w:sz w:val="20"/>
          <w:szCs w:val="20"/>
        </w:rPr>
        <w:t>Listing 1: Data Cleaning Pipeline</w:t>
      </w:r>
      <w:r>
        <w:rPr>
          <w:rFonts w:cs="Times New Roman"/>
          <w:sz w:val="20"/>
          <w:szCs w:val="20"/>
        </w:rPr>
        <w:tab/>
      </w:r>
    </w:p>
    <w:p w14:paraId="4CB0A9F2" w14:textId="77777777" w:rsidR="007130E7" w:rsidRDefault="00496722" w:rsidP="007130E7">
      <w:pPr>
        <w:spacing w:after="240"/>
        <w:rPr>
          <w:rFonts w:cs="Times New Roman"/>
          <w:i w:val="0"/>
          <w:iCs/>
          <w:sz w:val="20"/>
          <w:szCs w:val="20"/>
        </w:rPr>
      </w:pPr>
      <w:r w:rsidRPr="007130E7">
        <w:rPr>
          <w:rFonts w:cs="Times New Roman"/>
          <w:i w:val="0"/>
          <w:iCs/>
          <w:sz w:val="20"/>
          <w:szCs w:val="20"/>
        </w:rPr>
        <w:t xml:space="preserve">First, calculate a threshold, which is set to be 10% of the time series length. Remove completely any stock that does not have the daily price available on more than 90% of trading days (e.g., very recent Initial Public Offerings, such as </w:t>
      </w:r>
      <w:proofErr w:type="spellStart"/>
      <w:r w:rsidRPr="007130E7">
        <w:rPr>
          <w:rFonts w:cs="Times New Roman"/>
          <w:i w:val="0"/>
          <w:iCs/>
          <w:sz w:val="20"/>
          <w:szCs w:val="20"/>
        </w:rPr>
        <w:t>Kenvue</w:t>
      </w:r>
      <w:proofErr w:type="spellEnd"/>
      <w:r w:rsidRPr="007130E7">
        <w:rPr>
          <w:rFonts w:cs="Times New Roman"/>
          <w:i w:val="0"/>
          <w:iCs/>
          <w:sz w:val="20"/>
          <w:szCs w:val="20"/>
        </w:rPr>
        <w:t xml:space="preserve"> or GE </w:t>
      </w:r>
      <w:proofErr w:type="spellStart"/>
      <w:r w:rsidRPr="007130E7">
        <w:rPr>
          <w:rFonts w:cs="Times New Roman"/>
          <w:i w:val="0"/>
          <w:iCs/>
          <w:sz w:val="20"/>
          <w:szCs w:val="20"/>
        </w:rPr>
        <w:t>Vernova</w:t>
      </w:r>
      <w:proofErr w:type="spellEnd"/>
      <w:r w:rsidRPr="007130E7">
        <w:rPr>
          <w:rFonts w:cs="Times New Roman"/>
          <w:i w:val="0"/>
          <w:iCs/>
          <w:sz w:val="20"/>
          <w:szCs w:val="20"/>
        </w:rPr>
        <w:t>). Intuitively, such “short histories” would lead to a sparse matrix where fine entries are missing. The machine learning approach is problematic with sparse data, which are not read for PCA, as this proximity measure assumes the observation of most variables (most stocks) at most dates when estimating covariances.</w:t>
      </w:r>
    </w:p>
    <w:p w14:paraId="343D51CE" w14:textId="43144E9C" w:rsidR="00496722" w:rsidRPr="007130E7" w:rsidRDefault="00496722" w:rsidP="007130E7">
      <w:pPr>
        <w:spacing w:after="240"/>
        <w:rPr>
          <w:rFonts w:cs="Times New Roman"/>
          <w:i w:val="0"/>
          <w:iCs/>
          <w:sz w:val="20"/>
          <w:szCs w:val="20"/>
        </w:rPr>
      </w:pPr>
      <w:r w:rsidRPr="007130E7">
        <w:rPr>
          <w:rFonts w:cs="Times New Roman"/>
          <w:i w:val="0"/>
          <w:iCs/>
          <w:sz w:val="20"/>
          <w:szCs w:val="24"/>
        </w:rPr>
        <w:lastRenderedPageBreak/>
        <w:t xml:space="preserve">Second, after doing that, we still </w:t>
      </w:r>
      <w:proofErr w:type="gramStart"/>
      <w:r w:rsidRPr="007130E7">
        <w:rPr>
          <w:rFonts w:cs="Times New Roman"/>
          <w:i w:val="0"/>
          <w:iCs/>
          <w:sz w:val="20"/>
          <w:szCs w:val="24"/>
        </w:rPr>
        <w:t>have to</w:t>
      </w:r>
      <w:proofErr w:type="gramEnd"/>
      <w:r w:rsidRPr="007130E7">
        <w:rPr>
          <w:rFonts w:cs="Times New Roman"/>
          <w:i w:val="0"/>
          <w:iCs/>
          <w:sz w:val="20"/>
          <w:szCs w:val="24"/>
        </w:rPr>
        <w:t xml:space="preserve"> address a few missing values here and there for our other stocks. The critical question here is what to put in these gaps. Rather than filling in missing prices using a standard mean of all values (mean imputation), we use forward-filling, which merely carries the most recent available price forward as new price information is added. This choice is not arbitrary. In finance, prices are typically modelled as a random walk; today’s price is yesterday’s price plus some random shock.</w:t>
      </w:r>
      <w:r w:rsidR="007130E7" w:rsidRPr="007130E7">
        <w:t xml:space="preserve"> </w:t>
      </w:r>
      <w:r w:rsidRPr="007130E7">
        <w:rPr>
          <w:rFonts w:cs="Times New Roman"/>
          <w:i w:val="0"/>
          <w:iCs/>
          <w:sz w:val="20"/>
          <w:szCs w:val="24"/>
        </w:rPr>
        <w:t xml:space="preserve">If we substituted missing values with the long-run average, we should artificially “drag” the series toward the </w:t>
      </w:r>
      <w:proofErr w:type="spellStart"/>
      <w:r w:rsidRPr="007130E7">
        <w:rPr>
          <w:rFonts w:cs="Times New Roman"/>
          <w:i w:val="0"/>
          <w:iCs/>
          <w:sz w:val="20"/>
          <w:szCs w:val="24"/>
        </w:rPr>
        <w:t>centre</w:t>
      </w:r>
      <w:proofErr w:type="spellEnd"/>
      <w:r w:rsidRPr="007130E7">
        <w:rPr>
          <w:rFonts w:cs="Times New Roman"/>
          <w:i w:val="0"/>
          <w:iCs/>
          <w:sz w:val="20"/>
          <w:szCs w:val="24"/>
        </w:rPr>
        <w:t xml:space="preserve"> and to underestimate its volatility, weakening, for instance, its true correlation structure. Forward-filling, on the other hand, follows reality more closely in that what (in truth) happens while the market is closed is simply that the price stays where it was.</w:t>
      </w:r>
    </w:p>
    <w:p w14:paraId="1C3A5A7F" w14:textId="56511796" w:rsidR="00496722" w:rsidRPr="007130E7" w:rsidRDefault="00496722" w:rsidP="00496722">
      <w:pPr>
        <w:pStyle w:val="Heading2"/>
        <w:spacing w:before="120" w:after="80"/>
        <w:rPr>
          <w:rFonts w:ascii="Times New Roman" w:eastAsiaTheme="minorEastAsia" w:hAnsi="Times New Roman" w:cs="Times New Roman"/>
          <w:b w:val="0"/>
          <w:bCs w:val="0"/>
          <w:i w:val="0"/>
          <w:iCs/>
          <w:color w:val="auto"/>
          <w:sz w:val="20"/>
          <w:szCs w:val="24"/>
        </w:rPr>
      </w:pPr>
      <w:r w:rsidRPr="007130E7">
        <w:rPr>
          <w:rFonts w:ascii="Times New Roman" w:eastAsiaTheme="minorEastAsia" w:hAnsi="Times New Roman" w:cs="Times New Roman"/>
          <w:b w:val="0"/>
          <w:bCs w:val="0"/>
          <w:i w:val="0"/>
          <w:iCs/>
          <w:color w:val="auto"/>
          <w:sz w:val="20"/>
          <w:szCs w:val="24"/>
        </w:rPr>
        <w:t>Finally, we remove any remaining rows with missing values after forward-filling. We have</w:t>
      </w:r>
      <w:r w:rsidR="00DD5ED4" w:rsidRPr="007130E7">
        <w:rPr>
          <w:rFonts w:ascii="Times New Roman" w:eastAsiaTheme="minorEastAsia" w:hAnsi="Times New Roman" w:cs="Times New Roman"/>
          <w:b w:val="0"/>
          <w:bCs w:val="0"/>
          <w:i w:val="0"/>
          <w:iCs/>
          <w:color w:val="auto"/>
          <w:sz w:val="20"/>
          <w:szCs w:val="24"/>
        </w:rPr>
        <w:t>,</w:t>
      </w:r>
      <w:r w:rsidRPr="007130E7">
        <w:rPr>
          <w:rFonts w:ascii="Times New Roman" w:eastAsiaTheme="minorEastAsia" w:hAnsi="Times New Roman" w:cs="Times New Roman"/>
          <w:b w:val="0"/>
          <w:bCs w:val="0"/>
          <w:i w:val="0"/>
          <w:iCs/>
          <w:color w:val="auto"/>
          <w:sz w:val="20"/>
          <w:szCs w:val="24"/>
        </w:rPr>
        <w:t xml:space="preserve"> as a result</w:t>
      </w:r>
      <w:r w:rsidR="00DD5ED4" w:rsidRPr="007130E7">
        <w:rPr>
          <w:rFonts w:ascii="Times New Roman" w:eastAsiaTheme="minorEastAsia" w:hAnsi="Times New Roman" w:cs="Times New Roman"/>
          <w:b w:val="0"/>
          <w:bCs w:val="0"/>
          <w:i w:val="0"/>
          <w:iCs/>
          <w:color w:val="auto"/>
          <w:sz w:val="20"/>
          <w:szCs w:val="24"/>
        </w:rPr>
        <w:t>,</w:t>
      </w:r>
      <w:r w:rsidRPr="007130E7">
        <w:rPr>
          <w:rFonts w:ascii="Times New Roman" w:eastAsiaTheme="minorEastAsia" w:hAnsi="Times New Roman" w:cs="Times New Roman"/>
          <w:b w:val="0"/>
          <w:bCs w:val="0"/>
          <w:i w:val="0"/>
          <w:iCs/>
          <w:color w:val="auto"/>
          <w:sz w:val="20"/>
          <w:szCs w:val="24"/>
        </w:rPr>
        <w:t xml:space="preserve"> a data matrix where each column corresponds to a stock, each row to one trading day, and each cell is a valid adj close price. This matrix provides the data for all subsequent returns and covariance calculations.</w:t>
      </w:r>
    </w:p>
    <w:p w14:paraId="7B3922CF" w14:textId="2CADA25B" w:rsidR="00413509" w:rsidRPr="00496722" w:rsidRDefault="00000000" w:rsidP="00496722">
      <w:pPr>
        <w:pStyle w:val="Heading2"/>
        <w:spacing w:before="120" w:after="80"/>
        <w:rPr>
          <w:rFonts w:ascii="Times New Roman" w:hAnsi="Times New Roman" w:cs="Times New Roman"/>
          <w:i w:val="0"/>
          <w:iCs/>
        </w:rPr>
      </w:pPr>
      <w:r w:rsidRPr="00496722">
        <w:rPr>
          <w:rFonts w:ascii="Times New Roman" w:hAnsi="Times New Roman" w:cs="Times New Roman"/>
          <w:i w:val="0"/>
          <w:iCs/>
        </w:rPr>
        <w:t>2.2 Stationarity and Log Returns</w:t>
      </w:r>
    </w:p>
    <w:p w14:paraId="7E35AEA7" w14:textId="571DC0AE" w:rsidR="00DD5ED4" w:rsidRPr="007130E7" w:rsidRDefault="00DD5ED4" w:rsidP="00DD5ED4">
      <w:pPr>
        <w:spacing w:after="120" w:line="252" w:lineRule="auto"/>
        <w:jc w:val="both"/>
        <w:rPr>
          <w:rFonts w:cs="Times New Roman"/>
          <w:i w:val="0"/>
          <w:iCs/>
          <w:sz w:val="20"/>
          <w:szCs w:val="24"/>
          <w:lang w:val="en-GB"/>
        </w:rPr>
      </w:pPr>
      <w:r w:rsidRPr="007130E7">
        <w:rPr>
          <w:rFonts w:cs="Times New Roman"/>
          <w:i w:val="0"/>
          <w:iCs/>
          <w:sz w:val="20"/>
          <w:szCs w:val="24"/>
          <w:lang w:val="en-GB"/>
        </w:rPr>
        <w:t xml:space="preserve">Even after the price data are </w:t>
      </w:r>
      <w:proofErr w:type="spellStart"/>
      <w:r w:rsidRPr="007130E7">
        <w:rPr>
          <w:rFonts w:cs="Times New Roman"/>
          <w:i w:val="0"/>
          <w:iCs/>
          <w:sz w:val="20"/>
          <w:szCs w:val="24"/>
          <w:lang w:val="en-GB"/>
        </w:rPr>
        <w:t>preprocessed</w:t>
      </w:r>
      <w:proofErr w:type="spellEnd"/>
      <w:r w:rsidRPr="007130E7">
        <w:rPr>
          <w:rFonts w:cs="Times New Roman"/>
          <w:i w:val="0"/>
          <w:iCs/>
          <w:sz w:val="20"/>
          <w:szCs w:val="24"/>
          <w:lang w:val="en-GB"/>
        </w:rPr>
        <w:t xml:space="preserve">, we encounter a second issue: stock prices are </w:t>
      </w:r>
      <w:r w:rsidR="004B7F9A" w:rsidRPr="004B7F9A">
        <w:rPr>
          <w:rFonts w:cs="Times New Roman"/>
          <w:i w:val="0"/>
          <w:iCs/>
          <w:sz w:val="20"/>
          <w:szCs w:val="24"/>
          <w:lang w:val="en-GB"/>
        </w:rPr>
        <w:t>non-stationary</w:t>
      </w:r>
      <w:r w:rsidRPr="007130E7">
        <w:rPr>
          <w:rFonts w:cs="Times New Roman"/>
          <w:i w:val="0"/>
          <w:iCs/>
          <w:sz w:val="20"/>
          <w:szCs w:val="24"/>
          <w:lang w:val="en-GB"/>
        </w:rPr>
        <w:t xml:space="preserve">. In other words, a series is said </w:t>
      </w:r>
      <w:r w:rsidR="00EB0D2F">
        <w:rPr>
          <w:rFonts w:cs="Times New Roman"/>
          <w:i w:val="0"/>
          <w:iCs/>
          <w:sz w:val="20"/>
          <w:szCs w:val="24"/>
          <w:lang w:val="en-GB"/>
        </w:rPr>
        <w:t xml:space="preserve">to be </w:t>
      </w:r>
      <w:r w:rsidRPr="007130E7">
        <w:rPr>
          <w:rFonts w:cs="Times New Roman"/>
          <w:i w:val="0"/>
          <w:iCs/>
          <w:sz w:val="20"/>
          <w:szCs w:val="24"/>
          <w:lang w:val="en-GB"/>
        </w:rPr>
        <w:t xml:space="preserve">non-stationary if its mean and variance </w:t>
      </w:r>
      <w:r w:rsidR="00EB0D2F">
        <w:rPr>
          <w:rFonts w:cs="Times New Roman"/>
          <w:i w:val="0"/>
          <w:iCs/>
          <w:sz w:val="20"/>
          <w:szCs w:val="24"/>
          <w:lang w:val="en-GB"/>
        </w:rPr>
        <w:t>do</w:t>
      </w:r>
      <w:r w:rsidRPr="007130E7">
        <w:rPr>
          <w:rFonts w:cs="Times New Roman"/>
          <w:i w:val="0"/>
          <w:iCs/>
          <w:sz w:val="20"/>
          <w:szCs w:val="24"/>
          <w:lang w:val="en-GB"/>
        </w:rPr>
        <w:t xml:space="preserve"> not remain constant. Prices</w:t>
      </w:r>
      <w:r w:rsidRPr="007130E7">
        <w:rPr>
          <w:rFonts w:cs="Times New Roman"/>
          <w:i w:val="0"/>
          <w:iCs/>
          <w:sz w:val="20"/>
          <w:szCs w:val="24"/>
          <w:lang w:val="en-GB"/>
        </w:rPr>
        <w:t xml:space="preserve"> </w:t>
      </w:r>
      <m:oMath>
        <m:sSub>
          <m:sSubPr>
            <m:ctrlPr>
              <w:rPr>
                <w:rFonts w:ascii="Cambria Math" w:hAnsi="Cambria Math" w:cs="Times New Roman"/>
                <w:iCs/>
                <w:sz w:val="20"/>
                <w:szCs w:val="24"/>
                <w:lang w:val="en-GB"/>
              </w:rPr>
            </m:ctrlPr>
          </m:sSubPr>
          <m:e>
            <m:r>
              <w:rPr>
                <w:rFonts w:ascii="Cambria Math" w:hAnsi="Cambria Math" w:cs="Times New Roman"/>
                <w:sz w:val="20"/>
                <w:szCs w:val="24"/>
                <w:lang w:val="en-GB"/>
              </w:rPr>
              <m:t>P</m:t>
            </m:r>
          </m:e>
          <m:sub>
            <m:r>
              <w:rPr>
                <w:rFonts w:ascii="Cambria Math" w:hAnsi="Cambria Math" w:cs="Times New Roman"/>
                <w:sz w:val="20"/>
                <w:szCs w:val="24"/>
                <w:lang w:val="en-GB"/>
              </w:rPr>
              <m:t>t</m:t>
            </m:r>
          </m:sub>
        </m:sSub>
      </m:oMath>
      <w:r w:rsidRPr="007130E7">
        <w:rPr>
          <w:rFonts w:cs="Times New Roman"/>
          <w:i w:val="0"/>
          <w:iCs/>
          <w:sz w:val="20"/>
          <w:szCs w:val="24"/>
          <w:lang w:val="en-GB"/>
        </w:rPr>
        <w:t xml:space="preserve"> </w:t>
      </w:r>
      <w:r w:rsidRPr="007130E7">
        <w:rPr>
          <w:rFonts w:cs="Times New Roman"/>
          <w:i w:val="0"/>
          <w:iCs/>
          <w:sz w:val="20"/>
          <w:szCs w:val="24"/>
          <w:lang w:val="en-GB"/>
        </w:rPr>
        <w:t>have the tendency to increase (or decrease) as companies expand, inflation builds or investor sentiment shifts. PCA and correlation-based methods, however, provide better results when the underlying series have more or less stable statistical characteristics.</w:t>
      </w:r>
    </w:p>
    <w:p w14:paraId="2984D063" w14:textId="20AF6E9F" w:rsidR="00DD5ED4" w:rsidRPr="007130E7" w:rsidRDefault="00DD5ED4" w:rsidP="00DD5ED4">
      <w:pPr>
        <w:spacing w:after="120" w:line="252" w:lineRule="auto"/>
        <w:jc w:val="both"/>
        <w:rPr>
          <w:rFonts w:cs="Times New Roman"/>
          <w:i w:val="0"/>
          <w:iCs/>
          <w:sz w:val="20"/>
          <w:szCs w:val="24"/>
          <w:lang w:val="en-GB"/>
        </w:rPr>
      </w:pPr>
      <w:r w:rsidRPr="007130E7">
        <w:rPr>
          <w:rFonts w:cs="Times New Roman"/>
          <w:i w:val="0"/>
          <w:iCs/>
          <w:sz w:val="20"/>
          <w:szCs w:val="24"/>
          <w:lang w:val="en-GB"/>
        </w:rPr>
        <w:t>To counter this</w:t>
      </w:r>
      <w:r w:rsidRPr="007130E7">
        <w:rPr>
          <w:rFonts w:cs="Times New Roman"/>
          <w:i w:val="0"/>
          <w:iCs/>
          <w:sz w:val="20"/>
          <w:szCs w:val="24"/>
          <w:lang w:val="en-GB"/>
        </w:rPr>
        <w:t>,</w:t>
      </w:r>
      <w:r w:rsidRPr="007130E7">
        <w:rPr>
          <w:rFonts w:cs="Times New Roman"/>
          <w:i w:val="0"/>
          <w:iCs/>
          <w:sz w:val="20"/>
          <w:szCs w:val="24"/>
          <w:lang w:val="en-GB"/>
        </w:rPr>
        <w:t xml:space="preserve"> we convert prices to log returns, which are:</w:t>
      </w:r>
    </w:p>
    <w:p w14:paraId="3858B586" w14:textId="7A68C736" w:rsidR="00DD5ED4" w:rsidRPr="007130E7" w:rsidRDefault="00DD5ED4" w:rsidP="00DD5ED4">
      <w:pPr>
        <w:spacing w:after="120" w:line="252" w:lineRule="auto"/>
        <w:jc w:val="both"/>
        <w:rPr>
          <w:rFonts w:cs="Times New Roman"/>
          <w:i w:val="0"/>
          <w:iCs/>
          <w:sz w:val="20"/>
          <w:szCs w:val="24"/>
        </w:rPr>
      </w:pPr>
      <m:oMathPara>
        <m:oMath>
          <m:sSub>
            <m:sSubPr>
              <m:ctrlPr>
                <w:rPr>
                  <w:rFonts w:ascii="Cambria Math" w:hAnsi="Cambria Math" w:cs="Times New Roman"/>
                  <w:i w:val="0"/>
                  <w:iCs/>
                  <w:sz w:val="20"/>
                  <w:szCs w:val="24"/>
                </w:rPr>
              </m:ctrlPr>
            </m:sSubPr>
            <m:e>
              <m:r>
                <m:rPr>
                  <m:sty m:val="p"/>
                </m:rPr>
                <w:rPr>
                  <w:rFonts w:ascii="Cambria Math" w:hAnsi="Cambria Math" w:cs="Times New Roman"/>
                  <w:sz w:val="20"/>
                  <w:szCs w:val="24"/>
                </w:rPr>
                <m:t>r</m:t>
              </m:r>
            </m:e>
            <m:sub>
              <m:r>
                <m:rPr>
                  <m:sty m:val="p"/>
                </m:rPr>
                <w:rPr>
                  <w:rFonts w:ascii="Cambria Math" w:hAnsi="Cambria Math" w:cs="Times New Roman"/>
                  <w:sz w:val="20"/>
                  <w:szCs w:val="24"/>
                </w:rPr>
                <m:t>t</m:t>
              </m:r>
            </m:sub>
          </m:sSub>
          <m:r>
            <m:rPr>
              <m:sty m:val="p"/>
            </m:rPr>
            <w:rPr>
              <w:rFonts w:ascii="Cambria Math" w:hAnsi="Cambria Math" w:cs="Times New Roman"/>
              <w:sz w:val="20"/>
              <w:szCs w:val="24"/>
            </w:rPr>
            <m:t>=</m:t>
          </m:r>
          <m:func>
            <m:funcPr>
              <m:ctrlPr>
                <w:rPr>
                  <w:rFonts w:ascii="Cambria Math" w:hAnsi="Cambria Math" w:cs="Times New Roman"/>
                  <w:i w:val="0"/>
                  <w:iCs/>
                  <w:sz w:val="20"/>
                  <w:szCs w:val="24"/>
                </w:rPr>
              </m:ctrlPr>
            </m:funcPr>
            <m:fName>
              <m:r>
                <m:rPr>
                  <m:sty m:val="p"/>
                </m:rPr>
                <w:rPr>
                  <w:rFonts w:ascii="Cambria Math" w:hAnsi="Cambria Math" w:cs="Times New Roman"/>
                  <w:sz w:val="20"/>
                  <w:szCs w:val="24"/>
                </w:rPr>
                <m:t>ln</m:t>
              </m:r>
            </m:fName>
            <m:e>
              <m:d>
                <m:dPr>
                  <m:ctrlPr>
                    <w:rPr>
                      <w:rFonts w:ascii="Cambria Math" w:hAnsi="Cambria Math" w:cs="Times New Roman"/>
                      <w:i w:val="0"/>
                      <w:iCs/>
                      <w:sz w:val="20"/>
                      <w:szCs w:val="24"/>
                    </w:rPr>
                  </m:ctrlPr>
                </m:dPr>
                <m:e>
                  <m:sSub>
                    <m:sSubPr>
                      <m:ctrlPr>
                        <w:rPr>
                          <w:rFonts w:ascii="Cambria Math" w:hAnsi="Cambria Math" w:cs="Times New Roman"/>
                          <w:i w:val="0"/>
                          <w:iCs/>
                          <w:sz w:val="20"/>
                          <w:szCs w:val="24"/>
                        </w:rPr>
                      </m:ctrlPr>
                    </m:sSubPr>
                    <m:e>
                      <m:r>
                        <m:rPr>
                          <m:sty m:val="p"/>
                        </m:rPr>
                        <w:rPr>
                          <w:rFonts w:ascii="Cambria Math" w:hAnsi="Cambria Math" w:cs="Times New Roman"/>
                          <w:sz w:val="20"/>
                          <w:szCs w:val="24"/>
                        </w:rPr>
                        <m:t>P</m:t>
                      </m:r>
                    </m:e>
                    <m:sub>
                      <m:r>
                        <m:rPr>
                          <m:sty m:val="p"/>
                        </m:rPr>
                        <w:rPr>
                          <w:rFonts w:ascii="Cambria Math" w:hAnsi="Cambria Math" w:cs="Times New Roman"/>
                          <w:sz w:val="20"/>
                          <w:szCs w:val="24"/>
                        </w:rPr>
                        <m:t>t</m:t>
                      </m:r>
                    </m:sub>
                  </m:sSub>
                </m:e>
              </m:d>
            </m:e>
          </m:func>
          <m:r>
            <m:rPr>
              <m:sty m:val="p"/>
            </m:rPr>
            <w:rPr>
              <w:rFonts w:ascii="Cambria Math" w:hAnsi="Cambria Math" w:cs="Times New Roman"/>
              <w:sz w:val="20"/>
              <w:szCs w:val="24"/>
            </w:rPr>
            <m:t>-</m:t>
          </m:r>
          <m:func>
            <m:funcPr>
              <m:ctrlPr>
                <w:rPr>
                  <w:rFonts w:ascii="Cambria Math" w:hAnsi="Cambria Math" w:cs="Times New Roman"/>
                  <w:i w:val="0"/>
                  <w:iCs/>
                  <w:sz w:val="20"/>
                  <w:szCs w:val="24"/>
                </w:rPr>
              </m:ctrlPr>
            </m:funcPr>
            <m:fName>
              <m:r>
                <m:rPr>
                  <m:sty m:val="p"/>
                </m:rPr>
                <w:rPr>
                  <w:rFonts w:ascii="Cambria Math" w:hAnsi="Cambria Math" w:cs="Times New Roman"/>
                  <w:sz w:val="20"/>
                  <w:szCs w:val="24"/>
                </w:rPr>
                <m:t>ln</m:t>
              </m:r>
            </m:fName>
            <m:e>
              <m:d>
                <m:dPr>
                  <m:ctrlPr>
                    <w:rPr>
                      <w:rFonts w:ascii="Cambria Math" w:hAnsi="Cambria Math" w:cs="Times New Roman"/>
                      <w:i w:val="0"/>
                      <w:iCs/>
                      <w:sz w:val="20"/>
                      <w:szCs w:val="24"/>
                    </w:rPr>
                  </m:ctrlPr>
                </m:dPr>
                <m:e>
                  <m:sSub>
                    <m:sSubPr>
                      <m:ctrlPr>
                        <w:rPr>
                          <w:rFonts w:ascii="Cambria Math" w:hAnsi="Cambria Math" w:cs="Times New Roman"/>
                          <w:i w:val="0"/>
                          <w:iCs/>
                          <w:sz w:val="20"/>
                          <w:szCs w:val="24"/>
                        </w:rPr>
                      </m:ctrlPr>
                    </m:sSubPr>
                    <m:e>
                      <m:r>
                        <m:rPr>
                          <m:sty m:val="p"/>
                        </m:rPr>
                        <w:rPr>
                          <w:rFonts w:ascii="Cambria Math" w:hAnsi="Cambria Math" w:cs="Times New Roman"/>
                          <w:sz w:val="20"/>
                          <w:szCs w:val="24"/>
                        </w:rPr>
                        <m:t>P</m:t>
                      </m:r>
                    </m:e>
                    <m:sub>
                      <m:r>
                        <m:rPr>
                          <m:sty m:val="p"/>
                        </m:rPr>
                        <w:rPr>
                          <w:rFonts w:ascii="Cambria Math" w:hAnsi="Cambria Math" w:cs="Times New Roman"/>
                          <w:sz w:val="20"/>
                          <w:szCs w:val="24"/>
                        </w:rPr>
                        <m:t>t-1</m:t>
                      </m:r>
                    </m:sub>
                  </m:sSub>
                </m:e>
              </m:d>
            </m:e>
          </m:func>
          <m:r>
            <m:rPr>
              <m:sty m:val="p"/>
            </m:rPr>
            <w:rPr>
              <w:rFonts w:ascii="Cambria Math" w:hAnsi="Cambria Math" w:cs="Times New Roman"/>
              <w:sz w:val="20"/>
              <w:szCs w:val="24"/>
            </w:rPr>
            <m:t xml:space="preserve"> </m:t>
          </m:r>
        </m:oMath>
      </m:oMathPara>
    </w:p>
    <w:p w14:paraId="54F922C0" w14:textId="758D6A32" w:rsidR="00DD5ED4" w:rsidRPr="007130E7" w:rsidRDefault="00DD5ED4" w:rsidP="00DD5ED4">
      <w:pPr>
        <w:spacing w:after="120" w:line="252" w:lineRule="auto"/>
        <w:jc w:val="both"/>
        <w:rPr>
          <w:rFonts w:cs="Times New Roman"/>
          <w:i w:val="0"/>
          <w:iCs/>
          <w:sz w:val="20"/>
          <w:szCs w:val="24"/>
          <w:lang w:val="en-GB"/>
        </w:rPr>
      </w:pPr>
      <w:r w:rsidRPr="007130E7">
        <w:rPr>
          <w:rFonts w:cs="Times New Roman"/>
          <w:i w:val="0"/>
          <w:iCs/>
          <w:sz w:val="20"/>
          <w:szCs w:val="24"/>
          <w:lang w:val="en-GB"/>
        </w:rPr>
        <w:t>This</w:t>
      </w:r>
      <w:r w:rsidR="00EB0D2F">
        <w:rPr>
          <w:rFonts w:cs="Times New Roman"/>
          <w:i w:val="0"/>
          <w:iCs/>
          <w:sz w:val="20"/>
          <w:szCs w:val="24"/>
          <w:lang w:val="en-GB"/>
        </w:rPr>
        <w:t xml:space="preserve"> </w:t>
      </w:r>
      <w:r w:rsidR="00EB0D2F" w:rsidRPr="00EB0D2F">
        <w:rPr>
          <w:rFonts w:cs="Times New Roman"/>
          <w:i w:val="0"/>
          <w:iCs/>
          <w:sz w:val="20"/>
          <w:szCs w:val="24"/>
          <w:lang w:val="en-GB"/>
        </w:rPr>
        <w:t>transformation</w:t>
      </w:r>
      <w:r w:rsidR="00EB0D2F">
        <w:rPr>
          <w:rFonts w:cs="Times New Roman"/>
          <w:i w:val="0"/>
          <w:iCs/>
          <w:sz w:val="20"/>
          <w:szCs w:val="24"/>
          <w:lang w:val="en-GB"/>
        </w:rPr>
        <w:t xml:space="preserve"> </w:t>
      </w:r>
      <w:r w:rsidRPr="007130E7">
        <w:rPr>
          <w:rFonts w:cs="Times New Roman"/>
          <w:i w:val="0"/>
          <w:iCs/>
          <w:sz w:val="20"/>
          <w:szCs w:val="24"/>
          <w:lang w:val="en-GB"/>
        </w:rPr>
        <w:t>enjoys three crucial features:</w:t>
      </w:r>
      <w:r w:rsidRPr="007130E7">
        <w:rPr>
          <w:sz w:val="20"/>
          <w:szCs w:val="24"/>
        </w:rPr>
        <w:t xml:space="preserve"> </w:t>
      </w:r>
    </w:p>
    <w:p w14:paraId="2B5B1E7A" w14:textId="2553B289" w:rsidR="00DD5ED4" w:rsidRPr="007130E7" w:rsidRDefault="00DD5ED4" w:rsidP="00DD5ED4">
      <w:pPr>
        <w:pStyle w:val="ListParagraph"/>
        <w:numPr>
          <w:ilvl w:val="0"/>
          <w:numId w:val="10"/>
        </w:numPr>
        <w:spacing w:after="120" w:line="252" w:lineRule="auto"/>
        <w:jc w:val="both"/>
        <w:rPr>
          <w:rFonts w:cs="Times New Roman"/>
          <w:i w:val="0"/>
          <w:iCs/>
          <w:sz w:val="20"/>
          <w:szCs w:val="24"/>
          <w:lang w:val="en-GB"/>
        </w:rPr>
      </w:pPr>
      <w:r w:rsidRPr="007130E7">
        <w:rPr>
          <w:rFonts w:cs="Times New Roman"/>
          <w:i w:val="0"/>
          <w:iCs/>
          <w:sz w:val="20"/>
          <w:szCs w:val="24"/>
          <w:lang w:val="en-GB"/>
        </w:rPr>
        <w:t>Approximate stationarity</w:t>
      </w:r>
    </w:p>
    <w:p w14:paraId="431101BE" w14:textId="5A4D3117" w:rsidR="00DD5ED4" w:rsidRPr="007130E7" w:rsidRDefault="00DD5ED4" w:rsidP="00DD5ED4">
      <w:pPr>
        <w:pStyle w:val="ListParagraph"/>
        <w:spacing w:after="120" w:line="252" w:lineRule="auto"/>
        <w:jc w:val="both"/>
        <w:rPr>
          <w:rFonts w:cs="Times New Roman"/>
          <w:i w:val="0"/>
          <w:iCs/>
          <w:sz w:val="20"/>
          <w:szCs w:val="24"/>
          <w:lang w:val="en-GB"/>
        </w:rPr>
      </w:pPr>
      <w:r w:rsidRPr="007130E7">
        <w:rPr>
          <w:rFonts w:cs="Times New Roman"/>
          <w:i w:val="0"/>
          <w:iCs/>
          <w:sz w:val="20"/>
          <w:szCs w:val="24"/>
          <w:lang w:val="en-GB"/>
        </w:rPr>
        <w:t>Whereas prices meander over time, returns reverberate around a more stable average, which is often quite close to zero. Therefore, these would be more suited for PCA since it assumes the covariance matrix is well-behaved.</w:t>
      </w:r>
    </w:p>
    <w:p w14:paraId="11A43540" w14:textId="4F8E68B4" w:rsidR="00DD5ED4" w:rsidRPr="007130E7" w:rsidRDefault="00DD5ED4" w:rsidP="00DD5ED4">
      <w:pPr>
        <w:pStyle w:val="ListParagraph"/>
        <w:numPr>
          <w:ilvl w:val="0"/>
          <w:numId w:val="10"/>
        </w:numPr>
        <w:spacing w:after="120" w:line="252" w:lineRule="auto"/>
        <w:jc w:val="both"/>
        <w:rPr>
          <w:rFonts w:cs="Times New Roman"/>
          <w:i w:val="0"/>
          <w:iCs/>
          <w:sz w:val="20"/>
          <w:szCs w:val="24"/>
          <w:lang w:val="en-GB"/>
        </w:rPr>
      </w:pPr>
      <w:r w:rsidRPr="007130E7">
        <w:rPr>
          <w:rFonts w:cs="Times New Roman"/>
          <w:i w:val="0"/>
          <w:iCs/>
          <w:sz w:val="20"/>
          <w:szCs w:val="24"/>
          <w:lang w:val="en-GB"/>
        </w:rPr>
        <w:t>Additivity over time</w:t>
      </w:r>
    </w:p>
    <w:p w14:paraId="64C18868" w14:textId="58E150E1" w:rsidR="00DD5ED4" w:rsidRPr="007130E7" w:rsidRDefault="00DD5ED4" w:rsidP="00DD5ED4">
      <w:pPr>
        <w:pStyle w:val="ListParagraph"/>
        <w:spacing w:after="120" w:line="252" w:lineRule="auto"/>
        <w:jc w:val="both"/>
        <w:rPr>
          <w:rFonts w:cs="Times New Roman"/>
          <w:i w:val="0"/>
          <w:iCs/>
          <w:sz w:val="20"/>
          <w:szCs w:val="24"/>
          <w:lang w:val="en-GB"/>
        </w:rPr>
      </w:pPr>
      <w:r w:rsidRPr="007130E7">
        <w:rPr>
          <w:rFonts w:cs="Times New Roman"/>
          <w:i w:val="0"/>
          <w:iCs/>
          <w:sz w:val="20"/>
          <w:szCs w:val="24"/>
          <w:lang w:val="en-GB"/>
        </w:rPr>
        <w:t>L</w:t>
      </w:r>
      <w:r w:rsidRPr="007130E7">
        <w:rPr>
          <w:rFonts w:cs="Times New Roman"/>
          <w:i w:val="0"/>
          <w:iCs/>
          <w:sz w:val="20"/>
          <w:szCs w:val="24"/>
          <w:lang w:val="en-GB"/>
        </w:rPr>
        <w:t xml:space="preserve">og returns across multiple days are aggregated </w:t>
      </w:r>
      <w:r w:rsidRPr="007130E7">
        <w:rPr>
          <w:rFonts w:cs="Times New Roman"/>
          <w:i w:val="0"/>
          <w:iCs/>
          <w:sz w:val="20"/>
          <w:szCs w:val="24"/>
          <w:lang w:val="en-GB"/>
        </w:rPr>
        <w:t>in</w:t>
      </w:r>
      <w:r w:rsidRPr="007130E7">
        <w:rPr>
          <w:rFonts w:cs="Times New Roman"/>
          <w:i w:val="0"/>
          <w:iCs/>
          <w:sz w:val="20"/>
          <w:szCs w:val="24"/>
          <w:lang w:val="en-GB"/>
        </w:rPr>
        <w:t xml:space="preserve">to </w:t>
      </w:r>
      <w:r w:rsidRPr="007130E7">
        <w:rPr>
          <w:rFonts w:cs="Times New Roman"/>
          <w:i w:val="0"/>
          <w:iCs/>
          <w:sz w:val="20"/>
          <w:szCs w:val="24"/>
          <w:lang w:val="en-GB"/>
        </w:rPr>
        <w:t>a</w:t>
      </w:r>
      <w:r w:rsidRPr="007130E7">
        <w:rPr>
          <w:rFonts w:cs="Times New Roman"/>
          <w:i w:val="0"/>
          <w:iCs/>
          <w:sz w:val="20"/>
          <w:szCs w:val="24"/>
          <w:lang w:val="en-GB"/>
        </w:rPr>
        <w:t xml:space="preserve"> cumulative log return. This is useful if we later want</w:t>
      </w:r>
      <w:r w:rsidRPr="007130E7">
        <w:rPr>
          <w:rFonts w:cs="Times New Roman"/>
          <w:i w:val="0"/>
          <w:iCs/>
          <w:sz w:val="20"/>
          <w:szCs w:val="24"/>
          <w:lang w:val="en-GB"/>
        </w:rPr>
        <w:t xml:space="preserve"> to</w:t>
      </w:r>
      <w:r w:rsidRPr="007130E7">
        <w:rPr>
          <w:rFonts w:cs="Times New Roman"/>
          <w:i w:val="0"/>
          <w:iCs/>
          <w:sz w:val="20"/>
          <w:szCs w:val="24"/>
          <w:lang w:val="en-GB"/>
        </w:rPr>
        <w:t xml:space="preserve"> aggregate or compare performance over alternative horizons.</w:t>
      </w:r>
    </w:p>
    <w:p w14:paraId="277EC4B0" w14:textId="005ECA95" w:rsidR="00DD5ED4" w:rsidRPr="007130E7" w:rsidRDefault="00DD5ED4" w:rsidP="00DD5ED4">
      <w:pPr>
        <w:pStyle w:val="ListParagraph"/>
        <w:numPr>
          <w:ilvl w:val="0"/>
          <w:numId w:val="10"/>
        </w:numPr>
        <w:spacing w:after="120" w:line="252" w:lineRule="auto"/>
        <w:jc w:val="both"/>
        <w:rPr>
          <w:rFonts w:cs="Times New Roman"/>
          <w:i w:val="0"/>
          <w:iCs/>
          <w:sz w:val="20"/>
          <w:szCs w:val="24"/>
          <w:lang w:val="en-GB"/>
        </w:rPr>
      </w:pPr>
      <w:r w:rsidRPr="007130E7">
        <w:rPr>
          <w:rFonts w:cs="Times New Roman"/>
          <w:i w:val="0"/>
          <w:iCs/>
          <w:sz w:val="20"/>
          <w:szCs w:val="24"/>
          <w:lang w:val="en-GB"/>
        </w:rPr>
        <w:t>Symmetry and scaling</w:t>
      </w:r>
    </w:p>
    <w:p w14:paraId="1C6D6763" w14:textId="643FD86D" w:rsidR="00DD5ED4" w:rsidRPr="007130E7" w:rsidRDefault="00DD5ED4" w:rsidP="00DD5ED4">
      <w:pPr>
        <w:pStyle w:val="ListParagraph"/>
        <w:spacing w:after="120" w:line="252" w:lineRule="auto"/>
        <w:jc w:val="both"/>
        <w:rPr>
          <w:rFonts w:cs="Times New Roman"/>
          <w:i w:val="0"/>
          <w:iCs/>
          <w:sz w:val="20"/>
          <w:szCs w:val="24"/>
          <w:lang w:val="en-GB"/>
        </w:rPr>
      </w:pPr>
      <w:r w:rsidRPr="007130E7">
        <w:rPr>
          <w:rFonts w:cs="Times New Roman"/>
          <w:i w:val="0"/>
          <w:iCs/>
          <w:sz w:val="20"/>
          <w:szCs w:val="24"/>
          <w:lang w:val="en-GB"/>
        </w:rPr>
        <w:t xml:space="preserve">Log returns smooth proportional moves </w:t>
      </w:r>
      <w:proofErr w:type="gramStart"/>
      <w:r w:rsidRPr="007130E7">
        <w:rPr>
          <w:rFonts w:cs="Times New Roman"/>
          <w:i w:val="0"/>
          <w:iCs/>
          <w:sz w:val="20"/>
          <w:szCs w:val="24"/>
          <w:lang w:val="en-GB"/>
        </w:rPr>
        <w:t>pret</w:t>
      </w:r>
      <w:r w:rsidRPr="007130E7">
        <w:rPr>
          <w:rFonts w:cs="Times New Roman"/>
          <w:i w:val="0"/>
          <w:iCs/>
          <w:sz w:val="20"/>
          <w:szCs w:val="24"/>
          <w:lang w:val="en-GB"/>
        </w:rPr>
        <w:t>t</w:t>
      </w:r>
      <w:r w:rsidRPr="007130E7">
        <w:rPr>
          <w:rFonts w:cs="Times New Roman"/>
          <w:i w:val="0"/>
          <w:iCs/>
          <w:sz w:val="20"/>
          <w:szCs w:val="24"/>
          <w:lang w:val="en-GB"/>
        </w:rPr>
        <w:t>y similarly</w:t>
      </w:r>
      <w:proofErr w:type="gramEnd"/>
      <w:r w:rsidRPr="007130E7">
        <w:rPr>
          <w:rFonts w:cs="Times New Roman"/>
          <w:i w:val="0"/>
          <w:iCs/>
          <w:sz w:val="20"/>
          <w:szCs w:val="24"/>
          <w:lang w:val="en-GB"/>
        </w:rPr>
        <w:t xml:space="preserve">: moving from 100 to 110 and from 200 to 220 gives you </w:t>
      </w:r>
      <w:proofErr w:type="gramStart"/>
      <w:r w:rsidRPr="007130E7">
        <w:rPr>
          <w:rFonts w:cs="Times New Roman"/>
          <w:i w:val="0"/>
          <w:iCs/>
          <w:sz w:val="20"/>
          <w:szCs w:val="24"/>
          <w:lang w:val="en-GB"/>
        </w:rPr>
        <w:t>more or less the</w:t>
      </w:r>
      <w:proofErr w:type="gramEnd"/>
      <w:r w:rsidRPr="007130E7">
        <w:rPr>
          <w:rFonts w:cs="Times New Roman"/>
          <w:i w:val="0"/>
          <w:iCs/>
          <w:sz w:val="20"/>
          <w:szCs w:val="24"/>
          <w:lang w:val="en-GB"/>
        </w:rPr>
        <w:t xml:space="preserve"> same log return. This is more natural than working with raw price differences, where a $10 change would mean very different things to cheap and expensive stocks.</w:t>
      </w:r>
    </w:p>
    <w:p w14:paraId="3E81F57E" w14:textId="1ED1D795" w:rsidR="00DD5ED4" w:rsidRPr="007130E7" w:rsidRDefault="00DD5ED4" w:rsidP="00DD5ED4">
      <w:pPr>
        <w:spacing w:after="120" w:line="252" w:lineRule="auto"/>
        <w:jc w:val="both"/>
        <w:rPr>
          <w:rFonts w:cs="Times New Roman"/>
          <w:i w:val="0"/>
          <w:iCs/>
          <w:sz w:val="20"/>
          <w:szCs w:val="24"/>
          <w:lang w:eastAsia="zh-TW"/>
        </w:rPr>
      </w:pPr>
      <w:r w:rsidRPr="007130E7">
        <w:rPr>
          <w:rFonts w:cs="Times New Roman"/>
          <w:i w:val="0"/>
          <w:iCs/>
          <w:sz w:val="20"/>
          <w:szCs w:val="24"/>
          <w:lang w:val="en-GB"/>
        </w:rPr>
        <w:t xml:space="preserve">Using daily log returns instead of raw prices to calculate financial data provides us with a data set for which the mean and variance are more stable between days and other assets. This is important for the soundness of correlation-based methods (PCA, </w:t>
      </w:r>
      <w:r w:rsidR="00720AEB">
        <w:rPr>
          <w:rFonts w:cs="Times New Roman"/>
          <w:i w:val="0"/>
          <w:iCs/>
          <w:sz w:val="20"/>
          <w:szCs w:val="24"/>
          <w:lang w:val="en-GB"/>
        </w:rPr>
        <w:t xml:space="preserve">K-means clustering </w:t>
      </w:r>
      <w:proofErr w:type="gramStart"/>
      <w:r w:rsidRPr="007130E7">
        <w:rPr>
          <w:rFonts w:cs="Times New Roman"/>
          <w:i w:val="0"/>
          <w:iCs/>
          <w:sz w:val="20"/>
          <w:szCs w:val="24"/>
          <w:lang w:val="en-GB"/>
        </w:rPr>
        <w:t>are</w:t>
      </w:r>
      <w:proofErr w:type="gramEnd"/>
      <w:r w:rsidRPr="007130E7">
        <w:rPr>
          <w:rFonts w:cs="Times New Roman"/>
          <w:i w:val="0"/>
          <w:iCs/>
          <w:sz w:val="20"/>
          <w:szCs w:val="24"/>
          <w:lang w:val="en-GB"/>
        </w:rPr>
        <w:t xml:space="preserve"> examples); without proper transformation of data on entry, the resulting “factors”, clusters, and efficient frontiers may amount to no more than trends and scale effects rather than true co-movement in the stocks being managed.</w:t>
      </w:r>
    </w:p>
    <w:p w14:paraId="502F5FB9" w14:textId="77777777" w:rsidR="00413509" w:rsidRPr="00E57FE0" w:rsidRDefault="00000000">
      <w:pPr>
        <w:pStyle w:val="Heading1"/>
        <w:spacing w:before="240" w:after="120"/>
        <w:rPr>
          <w:rFonts w:ascii="Times New Roman" w:hAnsi="Times New Roman" w:cs="Times New Roman"/>
          <w:i w:val="0"/>
          <w:iCs/>
        </w:rPr>
      </w:pPr>
      <w:bookmarkStart w:id="0" w:name="OLE_LINK4"/>
      <w:r w:rsidRPr="00E57FE0">
        <w:rPr>
          <w:rFonts w:ascii="Times New Roman" w:hAnsi="Times New Roman" w:cs="Times New Roman"/>
          <w:i w:val="0"/>
          <w:iCs/>
        </w:rPr>
        <w:t>3. Methodology: Unsupervised Learning Algorithms</w:t>
      </w:r>
    </w:p>
    <w:p w14:paraId="4C18B314" w14:textId="11A99F7D" w:rsidR="00E57FE0" w:rsidRPr="007130E7" w:rsidRDefault="00E57FE0" w:rsidP="00E57FE0">
      <w:pPr>
        <w:rPr>
          <w:i w:val="0"/>
          <w:iCs/>
          <w:sz w:val="20"/>
          <w:szCs w:val="24"/>
          <w:lang w:val="en-GB"/>
        </w:rPr>
      </w:pPr>
      <w:r w:rsidRPr="007130E7">
        <w:rPr>
          <w:i w:val="0"/>
          <w:iCs/>
          <w:sz w:val="20"/>
          <w:szCs w:val="24"/>
          <w:lang w:val="en-GB"/>
        </w:rPr>
        <w:t xml:space="preserve">In this section, we describe how three unsupervised learning tools, PCA, </w:t>
      </w:r>
      <w:r w:rsidR="00720AEB">
        <w:rPr>
          <w:i w:val="0"/>
          <w:iCs/>
          <w:sz w:val="20"/>
          <w:szCs w:val="24"/>
          <w:lang w:val="en-GB"/>
        </w:rPr>
        <w:t>K-means clustering</w:t>
      </w:r>
      <w:r w:rsidRPr="007130E7">
        <w:rPr>
          <w:i w:val="0"/>
          <w:iCs/>
          <w:sz w:val="20"/>
          <w:szCs w:val="24"/>
          <w:lang w:val="en-GB"/>
        </w:rPr>
        <w:t>, and rolling windows</w:t>
      </w:r>
      <w:r w:rsidR="00EB0D2F">
        <w:rPr>
          <w:i w:val="0"/>
          <w:iCs/>
          <w:sz w:val="20"/>
          <w:szCs w:val="24"/>
          <w:lang w:val="en-GB"/>
        </w:rPr>
        <w:t>,</w:t>
      </w:r>
      <w:r w:rsidRPr="007130E7">
        <w:rPr>
          <w:i w:val="0"/>
          <w:iCs/>
          <w:sz w:val="20"/>
          <w:szCs w:val="24"/>
          <w:lang w:val="en-GB"/>
        </w:rPr>
        <w:t xml:space="preserve"> are combined to analyse the structure of the S&amp;P 500. All three methods share the same idea: let the data speak for themselves, without telling the model in advance which stocks belong to which sector or which days are “crisis days”.</w:t>
      </w:r>
    </w:p>
    <w:p w14:paraId="44780C61" w14:textId="77777777" w:rsidR="00413509" w:rsidRPr="00E57FE0" w:rsidRDefault="00000000">
      <w:pPr>
        <w:pStyle w:val="Heading2"/>
        <w:spacing w:before="120" w:after="80"/>
        <w:rPr>
          <w:rFonts w:ascii="Times New Roman" w:hAnsi="Times New Roman" w:cs="Times New Roman"/>
          <w:i w:val="0"/>
          <w:iCs/>
        </w:rPr>
      </w:pPr>
      <w:r w:rsidRPr="00E57FE0">
        <w:rPr>
          <w:rFonts w:ascii="Times New Roman" w:hAnsi="Times New Roman" w:cs="Times New Roman"/>
          <w:i w:val="0"/>
          <w:iCs/>
        </w:rPr>
        <w:t>3.1 Dimensionality Reduction: PCA</w:t>
      </w:r>
    </w:p>
    <w:p w14:paraId="3ED4A6F7" w14:textId="107A3F1D" w:rsidR="00E57FE0" w:rsidRPr="007130E7" w:rsidRDefault="00E57FE0" w:rsidP="00E57FE0">
      <w:pPr>
        <w:spacing w:after="120" w:line="252" w:lineRule="auto"/>
        <w:jc w:val="both"/>
        <w:rPr>
          <w:rFonts w:cs="Times New Roman"/>
          <w:i w:val="0"/>
          <w:iCs/>
          <w:sz w:val="20"/>
          <w:szCs w:val="20"/>
        </w:rPr>
      </w:pPr>
      <w:r w:rsidRPr="007130E7">
        <w:rPr>
          <w:rFonts w:cs="Times New Roman"/>
          <w:i w:val="0"/>
          <w:iCs/>
          <w:sz w:val="20"/>
          <w:szCs w:val="20"/>
        </w:rPr>
        <w:t>PCA (Principal Component Analysis) is applied for data</w:t>
      </w:r>
      <w:r w:rsidR="000E7CFA">
        <w:rPr>
          <w:rFonts w:cs="Times New Roman"/>
          <w:i w:val="0"/>
          <w:iCs/>
          <w:sz w:val="20"/>
          <w:szCs w:val="20"/>
        </w:rPr>
        <w:t xml:space="preserve"> </w:t>
      </w:r>
      <w:r w:rsidRPr="007130E7">
        <w:rPr>
          <w:rFonts w:cs="Times New Roman"/>
          <w:i w:val="0"/>
          <w:iCs/>
          <w:sz w:val="20"/>
          <w:szCs w:val="20"/>
        </w:rPr>
        <w:t>reduction.</w:t>
      </w:r>
      <w:r w:rsidR="000E7CFA">
        <w:t xml:space="preserve"> </w:t>
      </w:r>
      <w:r w:rsidRPr="007130E7">
        <w:rPr>
          <w:rFonts w:cs="Times New Roman"/>
          <w:i w:val="0"/>
          <w:iCs/>
          <w:sz w:val="20"/>
          <w:szCs w:val="20"/>
        </w:rPr>
        <w:t>Rather than solve the problem directly on hundreds of individual stock return series, PCA examines a matrix of covariances and extracts new axes, called principal components, in which most of the</w:t>
      </w:r>
      <w:r w:rsidR="004B7F9A">
        <w:rPr>
          <w:rFonts w:cs="Times New Roman"/>
          <w:i w:val="0"/>
          <w:iCs/>
          <w:sz w:val="20"/>
          <w:szCs w:val="20"/>
        </w:rPr>
        <w:t xml:space="preserve"> </w:t>
      </w:r>
      <w:r w:rsidRPr="007130E7">
        <w:rPr>
          <w:rFonts w:cs="Times New Roman"/>
          <w:i w:val="0"/>
          <w:iCs/>
          <w:sz w:val="20"/>
          <w:szCs w:val="20"/>
        </w:rPr>
        <w:t xml:space="preserve">variation is captured. They are orthogonal, which means that they are </w:t>
      </w:r>
      <w:proofErr w:type="gramStart"/>
      <w:r w:rsidRPr="007130E7">
        <w:rPr>
          <w:rFonts w:cs="Times New Roman"/>
          <w:i w:val="0"/>
          <w:iCs/>
          <w:sz w:val="20"/>
          <w:szCs w:val="20"/>
        </w:rPr>
        <w:t>independent  of</w:t>
      </w:r>
      <w:proofErr w:type="gramEnd"/>
      <w:r w:rsidRPr="007130E7">
        <w:rPr>
          <w:rFonts w:cs="Times New Roman"/>
          <w:i w:val="0"/>
          <w:iCs/>
          <w:sz w:val="20"/>
          <w:szCs w:val="20"/>
        </w:rPr>
        <w:t xml:space="preserve"> each other in terms of the information they encode.</w:t>
      </w:r>
    </w:p>
    <w:p w14:paraId="0A5009FE" w14:textId="2207378A" w:rsidR="00E57FE0" w:rsidRPr="007130E7" w:rsidRDefault="00E57FE0" w:rsidP="00E57FE0">
      <w:pPr>
        <w:spacing w:after="120" w:line="252" w:lineRule="auto"/>
        <w:jc w:val="both"/>
        <w:rPr>
          <w:rFonts w:cs="Times New Roman"/>
          <w:i w:val="0"/>
          <w:iCs/>
          <w:sz w:val="20"/>
          <w:szCs w:val="20"/>
        </w:rPr>
      </w:pPr>
      <w:r w:rsidRPr="007130E7">
        <w:rPr>
          <w:rFonts w:cs="Times New Roman"/>
          <w:i w:val="0"/>
          <w:iCs/>
          <w:sz w:val="20"/>
          <w:szCs w:val="20"/>
        </w:rPr>
        <w:t xml:space="preserve">The first Principal Component (PC1) is the direction </w:t>
      </w:r>
      <w:proofErr w:type="gramStart"/>
      <w:r w:rsidRPr="007130E7">
        <w:rPr>
          <w:rFonts w:cs="Times New Roman"/>
          <w:i w:val="0"/>
          <w:iCs/>
          <w:sz w:val="20"/>
          <w:szCs w:val="20"/>
        </w:rPr>
        <w:t>in  which</w:t>
      </w:r>
      <w:proofErr w:type="gramEnd"/>
      <w:r w:rsidRPr="007130E7">
        <w:rPr>
          <w:rFonts w:cs="Times New Roman"/>
          <w:i w:val="0"/>
          <w:iCs/>
          <w:sz w:val="20"/>
          <w:szCs w:val="20"/>
        </w:rPr>
        <w:t xml:space="preserve"> the returns are most varying. In finance, </w:t>
      </w:r>
      <w:r w:rsidR="003C01A1" w:rsidRPr="003C01A1">
        <w:rPr>
          <w:rFonts w:cs="Times New Roman"/>
          <w:i w:val="0"/>
          <w:iCs/>
          <w:sz w:val="20"/>
          <w:szCs w:val="20"/>
        </w:rPr>
        <w:t>this is commonly interpreted as a</w:t>
      </w:r>
      <w:r w:rsidRPr="007130E7">
        <w:rPr>
          <w:rFonts w:cs="Times New Roman"/>
          <w:i w:val="0"/>
          <w:iCs/>
          <w:sz w:val="20"/>
          <w:szCs w:val="20"/>
        </w:rPr>
        <w:t xml:space="preserve"> "market factor": strong PC1, and the fact that it represents a large </w:t>
      </w:r>
      <w:proofErr w:type="gramStart"/>
      <w:r w:rsidRPr="007130E7">
        <w:rPr>
          <w:rFonts w:cs="Times New Roman"/>
          <w:i w:val="0"/>
          <w:iCs/>
          <w:sz w:val="20"/>
          <w:szCs w:val="20"/>
        </w:rPr>
        <w:t>share  of</w:t>
      </w:r>
      <w:proofErr w:type="gramEnd"/>
      <w:r w:rsidRPr="007130E7">
        <w:rPr>
          <w:rFonts w:cs="Times New Roman"/>
          <w:i w:val="0"/>
          <w:iCs/>
          <w:sz w:val="20"/>
          <w:szCs w:val="20"/>
        </w:rPr>
        <w:t xml:space="preserve"> total variance means most stocks are all under the thumb of some general force, like macro news or broad risk mood.</w:t>
      </w:r>
    </w:p>
    <w:p w14:paraId="5DDD5C66" w14:textId="77777777" w:rsidR="00413509" w:rsidRPr="007130E7" w:rsidRDefault="00000000">
      <w:pPr>
        <w:spacing w:after="40" w:line="240" w:lineRule="auto"/>
        <w:ind w:left="567"/>
        <w:rPr>
          <w:rFonts w:cs="Times New Roman"/>
          <w:sz w:val="20"/>
          <w:szCs w:val="20"/>
        </w:rPr>
      </w:pPr>
      <w:r w:rsidRPr="007130E7">
        <w:rPr>
          <w:rFonts w:cs="Times New Roman"/>
          <w:color w:val="003264"/>
          <w:sz w:val="20"/>
          <w:szCs w:val="20"/>
        </w:rPr>
        <w:t># Python Implementation: PCA for Systemic Risk</w:t>
      </w:r>
      <w:r w:rsidRPr="007130E7">
        <w:rPr>
          <w:rFonts w:cs="Times New Roman"/>
          <w:color w:val="003264"/>
          <w:sz w:val="20"/>
          <w:szCs w:val="20"/>
        </w:rPr>
        <w:br/>
        <w:t xml:space="preserve">scaler = </w:t>
      </w:r>
      <w:proofErr w:type="gramStart"/>
      <w:r w:rsidRPr="007130E7">
        <w:rPr>
          <w:rFonts w:cs="Times New Roman"/>
          <w:color w:val="003264"/>
          <w:sz w:val="20"/>
          <w:szCs w:val="20"/>
        </w:rPr>
        <w:t>StandardScaler(</w:t>
      </w:r>
      <w:proofErr w:type="gramEnd"/>
      <w:r w:rsidRPr="007130E7">
        <w:rPr>
          <w:rFonts w:cs="Times New Roman"/>
          <w:color w:val="003264"/>
          <w:sz w:val="20"/>
          <w:szCs w:val="20"/>
        </w:rPr>
        <w:t>)</w:t>
      </w:r>
      <w:r w:rsidRPr="007130E7">
        <w:rPr>
          <w:rFonts w:cs="Times New Roman"/>
          <w:color w:val="003264"/>
          <w:sz w:val="20"/>
          <w:szCs w:val="20"/>
        </w:rPr>
        <w:br/>
        <w:t>df_scaled = scaler.fit_transform(df_returns)</w:t>
      </w:r>
      <w:r w:rsidRPr="007130E7">
        <w:rPr>
          <w:rFonts w:cs="Times New Roman"/>
          <w:color w:val="003264"/>
          <w:sz w:val="20"/>
          <w:szCs w:val="20"/>
        </w:rPr>
        <w:br/>
        <w:t>pca = PCA(n_components=10)</w:t>
      </w:r>
      <w:r w:rsidRPr="007130E7">
        <w:rPr>
          <w:rFonts w:cs="Times New Roman"/>
          <w:color w:val="003264"/>
          <w:sz w:val="20"/>
          <w:szCs w:val="20"/>
        </w:rPr>
        <w:br/>
        <w:t>pca.fit(df_scaled)</w:t>
      </w:r>
      <w:r w:rsidRPr="007130E7">
        <w:rPr>
          <w:rFonts w:cs="Times New Roman"/>
          <w:color w:val="003264"/>
          <w:sz w:val="20"/>
          <w:szCs w:val="20"/>
        </w:rPr>
        <w:br/>
      </w:r>
      <w:r w:rsidRPr="007130E7">
        <w:rPr>
          <w:rFonts w:cs="Times New Roman"/>
          <w:color w:val="003264"/>
          <w:sz w:val="20"/>
          <w:szCs w:val="20"/>
        </w:rPr>
        <w:lastRenderedPageBreak/>
        <w:t xml:space="preserve">explained_var = </w:t>
      </w:r>
      <w:proofErr w:type="gramStart"/>
      <w:r w:rsidRPr="007130E7">
        <w:rPr>
          <w:rFonts w:cs="Times New Roman"/>
          <w:color w:val="003264"/>
          <w:sz w:val="20"/>
          <w:szCs w:val="20"/>
        </w:rPr>
        <w:t>pca.explained</w:t>
      </w:r>
      <w:proofErr w:type="gramEnd"/>
      <w:r w:rsidRPr="007130E7">
        <w:rPr>
          <w:rFonts w:cs="Times New Roman"/>
          <w:color w:val="003264"/>
          <w:sz w:val="20"/>
          <w:szCs w:val="20"/>
        </w:rPr>
        <w:t>_variance_ratio_</w:t>
      </w:r>
      <w:r w:rsidRPr="007130E7">
        <w:rPr>
          <w:rFonts w:cs="Times New Roman"/>
          <w:color w:val="003264"/>
          <w:sz w:val="20"/>
          <w:szCs w:val="20"/>
        </w:rPr>
        <w:br/>
        <w:t xml:space="preserve">pc1_loadings = </w:t>
      </w:r>
      <w:proofErr w:type="gramStart"/>
      <w:r w:rsidRPr="007130E7">
        <w:rPr>
          <w:rFonts w:cs="Times New Roman"/>
          <w:color w:val="003264"/>
          <w:sz w:val="20"/>
          <w:szCs w:val="20"/>
        </w:rPr>
        <w:t>pca.components_[</w:t>
      </w:r>
      <w:proofErr w:type="gramEnd"/>
      <w:r w:rsidRPr="007130E7">
        <w:rPr>
          <w:rFonts w:cs="Times New Roman"/>
          <w:color w:val="003264"/>
          <w:sz w:val="20"/>
          <w:szCs w:val="20"/>
        </w:rPr>
        <w:t>0]</w:t>
      </w:r>
    </w:p>
    <w:p w14:paraId="102E9FAE" w14:textId="77777777" w:rsidR="00413509" w:rsidRPr="007130E7" w:rsidRDefault="00000000">
      <w:pPr>
        <w:spacing w:after="240"/>
        <w:jc w:val="center"/>
        <w:rPr>
          <w:rFonts w:cs="Times New Roman"/>
          <w:sz w:val="20"/>
          <w:szCs w:val="20"/>
        </w:rPr>
      </w:pPr>
      <w:r w:rsidRPr="007130E7">
        <w:rPr>
          <w:rFonts w:cs="Times New Roman"/>
          <w:sz w:val="20"/>
          <w:szCs w:val="20"/>
        </w:rPr>
        <w:t>Listing 2: PCA Implementation</w:t>
      </w:r>
    </w:p>
    <w:p w14:paraId="01361E7E" w14:textId="659495B0" w:rsidR="00E57FE0" w:rsidRPr="007130E7" w:rsidRDefault="00E57FE0">
      <w:pPr>
        <w:spacing w:after="120" w:line="252" w:lineRule="auto"/>
        <w:jc w:val="both"/>
        <w:rPr>
          <w:rFonts w:cs="Times New Roman"/>
          <w:i w:val="0"/>
          <w:iCs/>
          <w:sz w:val="20"/>
          <w:szCs w:val="20"/>
        </w:rPr>
      </w:pPr>
      <w:r w:rsidRPr="007130E7">
        <w:rPr>
          <w:rFonts w:cs="Times New Roman"/>
          <w:b/>
          <w:bCs/>
          <w:i w:val="0"/>
          <w:iCs/>
          <w:sz w:val="20"/>
          <w:szCs w:val="20"/>
        </w:rPr>
        <w:t>Algorithmic Translation</w:t>
      </w:r>
      <w:r w:rsidRPr="007130E7">
        <w:rPr>
          <w:rFonts w:cs="Times New Roman"/>
          <w:i w:val="0"/>
          <w:iCs/>
          <w:sz w:val="20"/>
          <w:szCs w:val="20"/>
        </w:rPr>
        <w:t xml:space="preserve">: We first </w:t>
      </w:r>
      <w:proofErr w:type="spellStart"/>
      <w:r w:rsidRPr="007130E7">
        <w:rPr>
          <w:rFonts w:cs="Times New Roman"/>
          <w:i w:val="0"/>
          <w:iCs/>
          <w:sz w:val="20"/>
          <w:szCs w:val="20"/>
        </w:rPr>
        <w:t>normalise</w:t>
      </w:r>
      <w:proofErr w:type="spellEnd"/>
      <w:r w:rsidRPr="007130E7">
        <w:rPr>
          <w:rFonts w:cs="Times New Roman"/>
          <w:i w:val="0"/>
          <w:iCs/>
          <w:sz w:val="20"/>
          <w:szCs w:val="20"/>
        </w:rPr>
        <w:t xml:space="preserve"> each financial stock’s return series by applying </w:t>
      </w:r>
      <w:r w:rsidRPr="007130E7">
        <w:rPr>
          <w:rFonts w:cs="Times New Roman"/>
          <w:i w:val="0"/>
          <w:iCs/>
          <w:sz w:val="20"/>
          <w:szCs w:val="20"/>
        </w:rPr>
        <w:t xml:space="preserve">a </w:t>
      </w:r>
      <w:r w:rsidRPr="007130E7">
        <w:rPr>
          <w:rFonts w:cs="Times New Roman"/>
          <w:i w:val="0"/>
          <w:iCs/>
          <w:sz w:val="20"/>
          <w:szCs w:val="20"/>
        </w:rPr>
        <w:t xml:space="preserve">StandardScaler that makes every single column </w:t>
      </w:r>
      <w:r w:rsidRPr="007130E7">
        <w:rPr>
          <w:rFonts w:cs="Times New Roman"/>
          <w:i w:val="0"/>
          <w:iCs/>
          <w:sz w:val="20"/>
          <w:szCs w:val="20"/>
        </w:rPr>
        <w:t>have a</w:t>
      </w:r>
      <w:r w:rsidRPr="007130E7">
        <w:rPr>
          <w:rFonts w:cs="Times New Roman"/>
          <w:i w:val="0"/>
          <w:iCs/>
          <w:sz w:val="20"/>
          <w:szCs w:val="20"/>
        </w:rPr>
        <w:t xml:space="preserve"> zero mean and unit variance, prior to performing PCA. This step is critical: without scaling, expensive or more volatile stocks (e.g., a name like Booking Holdings) would dominate the covariance matrix purely because of their size, not their importance to systemic risk. After scaling, all the stocks are placed on an equal footing. The vector </w:t>
      </w:r>
      <w:proofErr w:type="spellStart"/>
      <w:r w:rsidRPr="007130E7">
        <w:rPr>
          <w:rFonts w:cs="Times New Roman"/>
          <w:i w:val="0"/>
          <w:iCs/>
          <w:sz w:val="20"/>
          <w:szCs w:val="20"/>
        </w:rPr>
        <w:t>explained_variance_ratio</w:t>
      </w:r>
      <w:proofErr w:type="spellEnd"/>
      <w:r w:rsidRPr="007130E7">
        <w:rPr>
          <w:rFonts w:cs="Times New Roman"/>
          <w:i w:val="0"/>
          <w:iCs/>
          <w:sz w:val="20"/>
          <w:szCs w:val="20"/>
        </w:rPr>
        <w:t xml:space="preserve">_ now lets us know how much of the total variation each principal component explains. Specifically, we employ the estimation of PC1 as a simple data-driven proxy for market integration: the larger this ratio, the closer </w:t>
      </w:r>
      <w:r w:rsidRPr="007130E7">
        <w:rPr>
          <w:rFonts w:cs="Times New Roman"/>
          <w:i w:val="0"/>
          <w:iCs/>
          <w:sz w:val="20"/>
          <w:szCs w:val="20"/>
        </w:rPr>
        <w:t xml:space="preserve">it </w:t>
      </w:r>
      <w:r w:rsidRPr="007130E7">
        <w:rPr>
          <w:rFonts w:cs="Times New Roman"/>
          <w:i w:val="0"/>
          <w:iCs/>
          <w:sz w:val="20"/>
          <w:szCs w:val="20"/>
        </w:rPr>
        <w:t>is to all responses essentially forming one common block.</w:t>
      </w:r>
    </w:p>
    <w:p w14:paraId="7D59772E" w14:textId="77777777" w:rsidR="00413509" w:rsidRPr="00F00042" w:rsidRDefault="00000000">
      <w:pPr>
        <w:pStyle w:val="Heading2"/>
        <w:spacing w:before="120" w:after="80"/>
        <w:rPr>
          <w:rFonts w:ascii="Times New Roman" w:hAnsi="Times New Roman" w:cs="Times New Roman"/>
          <w:i w:val="0"/>
          <w:iCs/>
        </w:rPr>
      </w:pPr>
      <w:r w:rsidRPr="00F00042">
        <w:rPr>
          <w:rFonts w:ascii="Times New Roman" w:hAnsi="Times New Roman" w:cs="Times New Roman"/>
          <w:i w:val="0"/>
          <w:iCs/>
        </w:rPr>
        <w:t>3.2 Statistical Clustering: K-Means</w:t>
      </w:r>
    </w:p>
    <w:p w14:paraId="5A14EA80" w14:textId="072E2E0F" w:rsidR="00E57FE0" w:rsidRPr="007130E7" w:rsidRDefault="00E57FE0" w:rsidP="00E57FE0">
      <w:pPr>
        <w:spacing w:after="120" w:line="252" w:lineRule="auto"/>
        <w:jc w:val="both"/>
        <w:rPr>
          <w:rFonts w:cs="Times New Roman"/>
          <w:i w:val="0"/>
          <w:iCs/>
          <w:sz w:val="20"/>
          <w:szCs w:val="20"/>
          <w:lang w:val="en-GB"/>
        </w:rPr>
      </w:pPr>
      <w:r w:rsidRPr="007130E7">
        <w:rPr>
          <w:rFonts w:cs="Times New Roman"/>
          <w:i w:val="0"/>
          <w:iCs/>
          <w:sz w:val="20"/>
          <w:szCs w:val="20"/>
          <w:lang w:val="en-GB"/>
        </w:rPr>
        <w:t xml:space="preserve">Although PCA does identify common factors, investors still </w:t>
      </w:r>
      <w:proofErr w:type="gramStart"/>
      <w:r w:rsidRPr="007130E7">
        <w:rPr>
          <w:rFonts w:cs="Times New Roman"/>
          <w:i w:val="0"/>
          <w:iCs/>
          <w:sz w:val="20"/>
          <w:szCs w:val="20"/>
          <w:lang w:val="en-GB"/>
        </w:rPr>
        <w:t>have to</w:t>
      </w:r>
      <w:proofErr w:type="gramEnd"/>
      <w:r w:rsidRPr="007130E7">
        <w:rPr>
          <w:rFonts w:cs="Times New Roman"/>
          <w:i w:val="0"/>
          <w:iCs/>
          <w:sz w:val="20"/>
          <w:szCs w:val="20"/>
          <w:lang w:val="en-GB"/>
        </w:rPr>
        <w:t xml:space="preserve"> know which stocks trade together so that they can start to think about adding diversification. For that, we apply a classic unsupervised technique used in text mining known as </w:t>
      </w:r>
      <w:r w:rsidR="00720AEB">
        <w:rPr>
          <w:rFonts w:cs="Times New Roman"/>
          <w:i w:val="0"/>
          <w:iCs/>
          <w:sz w:val="20"/>
          <w:szCs w:val="20"/>
          <w:lang w:val="en-GB"/>
        </w:rPr>
        <w:t>K-means clustering</w:t>
      </w:r>
      <w:r w:rsidRPr="007130E7">
        <w:rPr>
          <w:rFonts w:cs="Times New Roman"/>
          <w:i w:val="0"/>
          <w:iCs/>
          <w:sz w:val="20"/>
          <w:szCs w:val="20"/>
          <w:lang w:val="en-GB"/>
        </w:rPr>
        <w:t>,</w:t>
      </w:r>
      <w:r w:rsidRPr="007130E7">
        <w:rPr>
          <w:rFonts w:cs="Times New Roman"/>
          <w:i w:val="0"/>
          <w:iCs/>
          <w:sz w:val="20"/>
          <w:szCs w:val="20"/>
          <w:lang w:val="en-GB"/>
        </w:rPr>
        <w:t xml:space="preserve"> which simply groups the stocks into</w:t>
      </w:r>
      <w:r w:rsidRPr="007130E7">
        <w:rPr>
          <w:rFonts w:cs="Times New Roman"/>
          <w:i w:val="0"/>
          <w:iCs/>
          <w:sz w:val="20"/>
          <w:szCs w:val="20"/>
          <w:lang w:val="en-GB"/>
        </w:rPr>
        <w:t xml:space="preserve"> </w:t>
      </w:r>
      <w:r w:rsidRPr="007130E7">
        <w:rPr>
          <w:rFonts w:cs="Times New Roman"/>
          <w:i w:val="0"/>
          <w:iCs/>
          <w:sz w:val="20"/>
          <w:szCs w:val="20"/>
          <w:lang w:val="en-GB"/>
        </w:rPr>
        <w:t xml:space="preserve">k groups (clusters). Within clusters, stocks are very similar; between clusters, they are as different as possible. </w:t>
      </w:r>
      <w:r w:rsidR="00720AEB">
        <w:rPr>
          <w:rFonts w:cs="Times New Roman"/>
          <w:i w:val="0"/>
          <w:iCs/>
          <w:sz w:val="20"/>
          <w:szCs w:val="20"/>
          <w:lang w:val="en-GB"/>
        </w:rPr>
        <w:t xml:space="preserve">K-means clustering </w:t>
      </w:r>
      <w:r w:rsidRPr="007130E7">
        <w:rPr>
          <w:rFonts w:cs="Times New Roman"/>
          <w:i w:val="0"/>
          <w:iCs/>
          <w:sz w:val="20"/>
          <w:szCs w:val="20"/>
          <w:lang w:val="en-GB"/>
        </w:rPr>
        <w:t>achieves this mathematically by minimising the Within-Cluster Sum of Squares (WCSS, or Inertia), which is a measure of how tight the clusters are.</w:t>
      </w:r>
    </w:p>
    <w:p w14:paraId="25B18D50" w14:textId="27BC9811" w:rsidR="00413509" w:rsidRPr="007130E7" w:rsidRDefault="00000000">
      <w:pPr>
        <w:spacing w:after="40" w:line="240" w:lineRule="auto"/>
        <w:ind w:left="567"/>
        <w:rPr>
          <w:rFonts w:cs="Times New Roman"/>
          <w:sz w:val="20"/>
          <w:szCs w:val="20"/>
        </w:rPr>
      </w:pPr>
      <w:r w:rsidRPr="007130E7">
        <w:rPr>
          <w:rFonts w:cs="Times New Roman"/>
          <w:color w:val="003264"/>
          <w:sz w:val="20"/>
          <w:szCs w:val="20"/>
        </w:rPr>
        <w:t xml:space="preserve"># Python Implementation: </w:t>
      </w:r>
      <w:r w:rsidR="00720AEB">
        <w:rPr>
          <w:rFonts w:cs="Times New Roman"/>
          <w:color w:val="003264"/>
          <w:sz w:val="20"/>
          <w:szCs w:val="20"/>
        </w:rPr>
        <w:t xml:space="preserve">K-means clustering </w:t>
      </w:r>
      <w:r w:rsidRPr="007130E7">
        <w:rPr>
          <w:rFonts w:cs="Times New Roman"/>
          <w:color w:val="003264"/>
          <w:sz w:val="20"/>
          <w:szCs w:val="20"/>
        </w:rPr>
        <w:br/>
      </w:r>
      <w:proofErr w:type="spellStart"/>
      <w:r w:rsidRPr="007130E7">
        <w:rPr>
          <w:rFonts w:cs="Times New Roman"/>
          <w:color w:val="003264"/>
          <w:sz w:val="20"/>
          <w:szCs w:val="20"/>
        </w:rPr>
        <w:t>correlation_matrix</w:t>
      </w:r>
      <w:proofErr w:type="spellEnd"/>
      <w:r w:rsidRPr="007130E7">
        <w:rPr>
          <w:rFonts w:cs="Times New Roman"/>
          <w:color w:val="003264"/>
          <w:sz w:val="20"/>
          <w:szCs w:val="20"/>
        </w:rPr>
        <w:t xml:space="preserve"> = </w:t>
      </w:r>
      <w:proofErr w:type="spellStart"/>
      <w:r w:rsidRPr="007130E7">
        <w:rPr>
          <w:rFonts w:cs="Times New Roman"/>
          <w:color w:val="003264"/>
          <w:sz w:val="20"/>
          <w:szCs w:val="20"/>
        </w:rPr>
        <w:t>df_</w:t>
      </w:r>
      <w:proofErr w:type="gramStart"/>
      <w:r w:rsidRPr="007130E7">
        <w:rPr>
          <w:rFonts w:cs="Times New Roman"/>
          <w:color w:val="003264"/>
          <w:sz w:val="20"/>
          <w:szCs w:val="20"/>
        </w:rPr>
        <w:t>returns.corr</w:t>
      </w:r>
      <w:proofErr w:type="spellEnd"/>
      <w:proofErr w:type="gramEnd"/>
      <w:r w:rsidRPr="007130E7">
        <w:rPr>
          <w:rFonts w:cs="Times New Roman"/>
          <w:color w:val="003264"/>
          <w:sz w:val="20"/>
          <w:szCs w:val="20"/>
        </w:rPr>
        <w:t>()</w:t>
      </w:r>
      <w:r w:rsidRPr="007130E7">
        <w:rPr>
          <w:rFonts w:cs="Times New Roman"/>
          <w:color w:val="003264"/>
          <w:sz w:val="20"/>
          <w:szCs w:val="20"/>
        </w:rPr>
        <w:br/>
        <w:t xml:space="preserve">kmeans = </w:t>
      </w:r>
      <w:proofErr w:type="gramStart"/>
      <w:r w:rsidRPr="007130E7">
        <w:rPr>
          <w:rFonts w:cs="Times New Roman"/>
          <w:color w:val="003264"/>
          <w:sz w:val="20"/>
          <w:szCs w:val="20"/>
        </w:rPr>
        <w:t>KMeans(</w:t>
      </w:r>
      <w:proofErr w:type="gramEnd"/>
      <w:r w:rsidRPr="007130E7">
        <w:rPr>
          <w:rFonts w:cs="Times New Roman"/>
          <w:color w:val="003264"/>
          <w:sz w:val="20"/>
          <w:szCs w:val="20"/>
        </w:rPr>
        <w:t>n_clusters=11, random_state=42)</w:t>
      </w:r>
      <w:r w:rsidRPr="007130E7">
        <w:rPr>
          <w:rFonts w:cs="Times New Roman"/>
          <w:color w:val="003264"/>
          <w:sz w:val="20"/>
          <w:szCs w:val="20"/>
        </w:rPr>
        <w:br/>
        <w:t>kmeans.fit(correlation_matrix)</w:t>
      </w:r>
      <w:r w:rsidRPr="007130E7">
        <w:rPr>
          <w:rFonts w:cs="Times New Roman"/>
          <w:color w:val="003264"/>
          <w:sz w:val="20"/>
          <w:szCs w:val="20"/>
        </w:rPr>
        <w:br/>
        <w:t xml:space="preserve">labels = </w:t>
      </w:r>
      <w:proofErr w:type="gramStart"/>
      <w:r w:rsidRPr="007130E7">
        <w:rPr>
          <w:rFonts w:cs="Times New Roman"/>
          <w:color w:val="003264"/>
          <w:sz w:val="20"/>
          <w:szCs w:val="20"/>
        </w:rPr>
        <w:t>kmeans.labels</w:t>
      </w:r>
      <w:proofErr w:type="gramEnd"/>
      <w:r w:rsidRPr="007130E7">
        <w:rPr>
          <w:rFonts w:cs="Times New Roman"/>
          <w:color w:val="003264"/>
          <w:sz w:val="20"/>
          <w:szCs w:val="20"/>
        </w:rPr>
        <w:t>_</w:t>
      </w:r>
    </w:p>
    <w:p w14:paraId="2786F621" w14:textId="57E69D22" w:rsidR="00413509" w:rsidRPr="007130E7" w:rsidRDefault="00000000">
      <w:pPr>
        <w:spacing w:after="240"/>
        <w:jc w:val="center"/>
        <w:rPr>
          <w:rFonts w:cs="Times New Roman"/>
          <w:sz w:val="20"/>
          <w:szCs w:val="20"/>
        </w:rPr>
      </w:pPr>
      <w:r w:rsidRPr="007130E7">
        <w:rPr>
          <w:rFonts w:cs="Times New Roman"/>
          <w:sz w:val="20"/>
          <w:szCs w:val="20"/>
        </w:rPr>
        <w:t xml:space="preserve">Listing 3: </w:t>
      </w:r>
      <w:r w:rsidR="00720AEB">
        <w:rPr>
          <w:rFonts w:cs="Times New Roman"/>
          <w:sz w:val="20"/>
          <w:szCs w:val="20"/>
        </w:rPr>
        <w:t xml:space="preserve">K-means clustering </w:t>
      </w:r>
      <w:r w:rsidRPr="007130E7">
        <w:rPr>
          <w:rFonts w:cs="Times New Roman"/>
          <w:sz w:val="20"/>
          <w:szCs w:val="20"/>
        </w:rPr>
        <w:t>on Correlation Matrix</w:t>
      </w:r>
    </w:p>
    <w:p w14:paraId="321CCBD3" w14:textId="35A2F519" w:rsidR="00E57FE0" w:rsidRPr="007130E7" w:rsidRDefault="00E57FE0">
      <w:pPr>
        <w:spacing w:after="120" w:line="252" w:lineRule="auto"/>
        <w:jc w:val="both"/>
        <w:rPr>
          <w:rFonts w:cs="Times New Roman"/>
          <w:i w:val="0"/>
          <w:iCs/>
          <w:sz w:val="20"/>
          <w:szCs w:val="20"/>
        </w:rPr>
      </w:pPr>
      <w:r w:rsidRPr="007130E7">
        <w:rPr>
          <w:rFonts w:cs="Times New Roman"/>
          <w:b/>
          <w:bCs/>
          <w:i w:val="0"/>
          <w:iCs/>
          <w:sz w:val="20"/>
          <w:szCs w:val="20"/>
        </w:rPr>
        <w:t>Financial Logic</w:t>
      </w:r>
      <w:r w:rsidRPr="007130E7">
        <w:rPr>
          <w:rFonts w:cs="Times New Roman"/>
          <w:i w:val="0"/>
          <w:iCs/>
          <w:sz w:val="20"/>
          <w:szCs w:val="20"/>
        </w:rPr>
        <w:t xml:space="preserve">: We do </w:t>
      </w:r>
      <w:r w:rsidR="00720AEB">
        <w:rPr>
          <w:rFonts w:cs="Times New Roman"/>
          <w:i w:val="0"/>
          <w:iCs/>
          <w:sz w:val="20"/>
          <w:szCs w:val="20"/>
        </w:rPr>
        <w:t xml:space="preserve">K-means clustering </w:t>
      </w:r>
      <w:r w:rsidRPr="007130E7">
        <w:rPr>
          <w:rFonts w:cs="Times New Roman"/>
          <w:i w:val="0"/>
          <w:iCs/>
          <w:sz w:val="20"/>
          <w:szCs w:val="20"/>
        </w:rPr>
        <w:t xml:space="preserve">on the correlation matrix, not the raw returns. This is to say that rather than how stocks move with respect to each other (their co-movement pattern or “beta profile”), </w:t>
      </w:r>
      <w:r w:rsidR="000E7CFA" w:rsidRPr="000E7CFA">
        <w:rPr>
          <w:rFonts w:cs="Times New Roman"/>
          <w:i w:val="0"/>
          <w:iCs/>
          <w:sz w:val="20"/>
          <w:szCs w:val="20"/>
        </w:rPr>
        <w:t>we assign them into groups by their co-movement pattern (‘beta profile’), rather than by the magnitude of their returns</w:t>
      </w:r>
      <w:r w:rsidRPr="007130E7">
        <w:rPr>
          <w:rFonts w:cs="Times New Roman"/>
          <w:i w:val="0"/>
          <w:iCs/>
          <w:sz w:val="20"/>
          <w:szCs w:val="20"/>
        </w:rPr>
        <w:t>. Two stocks that frequently move up or down in concert will be prone to landing in the same cluster, even if one of them is more volatile than the other.</w:t>
      </w:r>
    </w:p>
    <w:p w14:paraId="0BDF25D8" w14:textId="696983D0" w:rsidR="00E57FE0" w:rsidRPr="007130E7" w:rsidRDefault="00E57FE0" w:rsidP="00E57FE0">
      <w:pPr>
        <w:spacing w:after="120" w:line="252" w:lineRule="auto"/>
        <w:jc w:val="both"/>
        <w:rPr>
          <w:rFonts w:cs="Times New Roman"/>
          <w:i w:val="0"/>
          <w:iCs/>
          <w:sz w:val="20"/>
          <w:szCs w:val="20"/>
        </w:rPr>
      </w:pPr>
      <w:r w:rsidRPr="007130E7">
        <w:rPr>
          <w:rFonts w:cs="Times New Roman"/>
          <w:i w:val="0"/>
          <w:iCs/>
          <w:sz w:val="20"/>
          <w:szCs w:val="20"/>
        </w:rPr>
        <w:t>We choose</w:t>
      </w:r>
      <w:r w:rsidRPr="007130E7">
        <w:rPr>
          <w:rFonts w:cs="Times New Roman"/>
          <w:i w:val="0"/>
          <w:iCs/>
          <w:sz w:val="20"/>
          <w:szCs w:val="20"/>
        </w:rPr>
        <w:t xml:space="preserve"> </w:t>
      </w:r>
      <w:r w:rsidRPr="007130E7">
        <w:rPr>
          <w:rFonts w:cs="Times New Roman"/>
          <w:i w:val="0"/>
          <w:iCs/>
          <w:sz w:val="20"/>
          <w:szCs w:val="20"/>
        </w:rPr>
        <w:t xml:space="preserve">k=11 to match approximately the GICS sectors of </w:t>
      </w:r>
      <w:r w:rsidRPr="007130E7">
        <w:rPr>
          <w:rFonts w:cs="Times New Roman"/>
          <w:i w:val="0"/>
          <w:iCs/>
          <w:sz w:val="20"/>
          <w:szCs w:val="20"/>
        </w:rPr>
        <w:t>the</w:t>
      </w:r>
      <w:r w:rsidRPr="007130E7">
        <w:rPr>
          <w:rFonts w:cs="Times New Roman"/>
          <w:i w:val="0"/>
          <w:iCs/>
          <w:sz w:val="20"/>
          <w:szCs w:val="20"/>
        </w:rPr>
        <w:t xml:space="preserve"> </w:t>
      </w:r>
      <w:r w:rsidRPr="007130E7">
        <w:rPr>
          <w:rFonts w:cs="Times New Roman"/>
          <w:i w:val="0"/>
          <w:iCs/>
          <w:sz w:val="20"/>
          <w:szCs w:val="20"/>
        </w:rPr>
        <w:t>S&amp;</w:t>
      </w:r>
      <w:r w:rsidRPr="007130E7">
        <w:rPr>
          <w:rFonts w:cs="Times New Roman"/>
          <w:i w:val="0"/>
          <w:iCs/>
          <w:sz w:val="20"/>
          <w:szCs w:val="20"/>
        </w:rPr>
        <w:t xml:space="preserve">P 500. This implies that we can compare our statistical clusters with the official sector labels referred </w:t>
      </w:r>
      <w:r w:rsidRPr="007130E7">
        <w:rPr>
          <w:rFonts w:cs="Times New Roman"/>
          <w:i w:val="0"/>
          <w:iCs/>
          <w:sz w:val="20"/>
          <w:szCs w:val="20"/>
        </w:rPr>
        <w:t xml:space="preserve">to </w:t>
      </w:r>
      <w:r w:rsidRPr="007130E7">
        <w:rPr>
          <w:rFonts w:cs="Times New Roman"/>
          <w:i w:val="0"/>
          <w:iCs/>
          <w:sz w:val="20"/>
          <w:szCs w:val="20"/>
        </w:rPr>
        <w:t>in the literature [8]. In other words, we can inquire: Are there stocks that behave the same way, according to the data, </w:t>
      </w:r>
      <w:proofErr w:type="gramStart"/>
      <w:r w:rsidRPr="007130E7">
        <w:rPr>
          <w:rFonts w:cs="Times New Roman"/>
          <w:i w:val="0"/>
          <w:iCs/>
          <w:sz w:val="20"/>
          <w:szCs w:val="20"/>
        </w:rPr>
        <w:t>actually align</w:t>
      </w:r>
      <w:proofErr w:type="gramEnd"/>
      <w:r w:rsidRPr="007130E7">
        <w:rPr>
          <w:rFonts w:cs="Times New Roman"/>
          <w:i w:val="0"/>
          <w:iCs/>
          <w:sz w:val="20"/>
          <w:szCs w:val="20"/>
        </w:rPr>
        <w:t xml:space="preserve"> themselves with traditional concepts of what a sector is</w:t>
      </w:r>
      <w:r w:rsidRPr="007130E7">
        <w:rPr>
          <w:rFonts w:cs="Times New Roman"/>
          <w:i w:val="0"/>
          <w:iCs/>
          <w:sz w:val="20"/>
          <w:szCs w:val="20"/>
        </w:rPr>
        <w:t>,</w:t>
      </w:r>
      <w:r w:rsidRPr="007130E7">
        <w:rPr>
          <w:rFonts w:cs="Times New Roman"/>
          <w:i w:val="0"/>
          <w:iCs/>
          <w:sz w:val="20"/>
          <w:szCs w:val="20"/>
        </w:rPr>
        <w:t xml:space="preserve"> or are we coming up with new ways to group stocks that the standards miss?</w:t>
      </w:r>
    </w:p>
    <w:p w14:paraId="475849DB" w14:textId="77777777" w:rsidR="00413509" w:rsidRPr="007130E7" w:rsidRDefault="00000000">
      <w:pPr>
        <w:pStyle w:val="Heading2"/>
        <w:spacing w:before="120" w:after="80"/>
        <w:rPr>
          <w:rFonts w:ascii="Times New Roman" w:hAnsi="Times New Roman" w:cs="Times New Roman"/>
          <w:i w:val="0"/>
          <w:iCs/>
          <w:sz w:val="20"/>
          <w:szCs w:val="20"/>
        </w:rPr>
      </w:pPr>
      <w:r w:rsidRPr="007130E7">
        <w:rPr>
          <w:rFonts w:ascii="Times New Roman" w:hAnsi="Times New Roman" w:cs="Times New Roman"/>
          <w:i w:val="0"/>
          <w:iCs/>
          <w:sz w:val="20"/>
          <w:szCs w:val="20"/>
        </w:rPr>
        <w:t>3.3 Dynamic Analysis: Rolling Windows</w:t>
      </w:r>
    </w:p>
    <w:p w14:paraId="5935F8D4" w14:textId="4F807AF7" w:rsidR="00F00042" w:rsidRPr="007130E7" w:rsidRDefault="00F00042">
      <w:pPr>
        <w:spacing w:after="120" w:line="252" w:lineRule="auto"/>
        <w:jc w:val="both"/>
        <w:rPr>
          <w:rFonts w:cs="Times New Roman"/>
          <w:i w:val="0"/>
          <w:iCs/>
          <w:sz w:val="20"/>
          <w:szCs w:val="20"/>
        </w:rPr>
      </w:pPr>
      <w:r w:rsidRPr="007130E7">
        <w:rPr>
          <w:rFonts w:cs="Times New Roman"/>
          <w:i w:val="0"/>
          <w:iCs/>
          <w:sz w:val="20"/>
          <w:szCs w:val="20"/>
        </w:rPr>
        <w:t xml:space="preserve">A fully static analysis would choose an entire 2019–2024 period, aggregate all the returns and calculate exactly one PCA. The difficulty with this approach is that it masks crises and turning points, because it blurs across calm and troubled times. We refer to such changes in </w:t>
      </w:r>
      <w:proofErr w:type="spellStart"/>
      <w:r w:rsidRPr="007130E7">
        <w:rPr>
          <w:rFonts w:cs="Times New Roman"/>
          <w:i w:val="0"/>
          <w:iCs/>
          <w:sz w:val="20"/>
          <w:szCs w:val="20"/>
        </w:rPr>
        <w:t>behaviour</w:t>
      </w:r>
      <w:proofErr w:type="spellEnd"/>
      <w:r w:rsidRPr="007130E7">
        <w:rPr>
          <w:rFonts w:cs="Times New Roman"/>
          <w:i w:val="0"/>
          <w:iCs/>
          <w:sz w:val="20"/>
          <w:szCs w:val="20"/>
        </w:rPr>
        <w:t xml:space="preserve"> (or regime shifts) as ‘</w:t>
      </w:r>
      <w:proofErr w:type="gramStart"/>
      <w:r w:rsidRPr="007130E7">
        <w:rPr>
          <w:rFonts w:cs="Times New Roman"/>
          <w:i w:val="0"/>
          <w:iCs/>
          <w:sz w:val="20"/>
          <w:szCs w:val="20"/>
        </w:rPr>
        <w:t>break-points</w:t>
      </w:r>
      <w:proofErr w:type="gramEnd"/>
      <w:r w:rsidRPr="007130E7">
        <w:rPr>
          <w:rFonts w:cs="Times New Roman"/>
          <w:i w:val="0"/>
          <w:iCs/>
          <w:sz w:val="20"/>
          <w:szCs w:val="20"/>
        </w:rPr>
        <w:t>’.</w:t>
      </w:r>
    </w:p>
    <w:p w14:paraId="6D3FB439" w14:textId="77777777" w:rsidR="00413509" w:rsidRPr="007130E7" w:rsidRDefault="00000000">
      <w:pPr>
        <w:spacing w:after="40" w:line="240" w:lineRule="auto"/>
        <w:ind w:left="567"/>
        <w:rPr>
          <w:rFonts w:cs="Times New Roman"/>
          <w:sz w:val="20"/>
          <w:szCs w:val="20"/>
        </w:rPr>
      </w:pPr>
      <w:r w:rsidRPr="007130E7">
        <w:rPr>
          <w:rFonts w:cs="Times New Roman"/>
          <w:color w:val="003264"/>
          <w:sz w:val="20"/>
          <w:szCs w:val="20"/>
        </w:rPr>
        <w:t># Python Implementation: Rolling PCA</w:t>
      </w:r>
      <w:r w:rsidRPr="007130E7">
        <w:rPr>
          <w:rFonts w:cs="Times New Roman"/>
          <w:color w:val="003264"/>
          <w:sz w:val="20"/>
          <w:szCs w:val="20"/>
        </w:rPr>
        <w:br/>
        <w:t>window_size = 126 # Approx 6 trading months</w:t>
      </w:r>
      <w:r w:rsidRPr="007130E7">
        <w:rPr>
          <w:rFonts w:cs="Times New Roman"/>
          <w:color w:val="003264"/>
          <w:sz w:val="20"/>
          <w:szCs w:val="20"/>
        </w:rPr>
        <w:br/>
        <w:t>history = []</w:t>
      </w:r>
      <w:r w:rsidRPr="007130E7">
        <w:rPr>
          <w:rFonts w:cs="Times New Roman"/>
          <w:color w:val="003264"/>
          <w:sz w:val="20"/>
          <w:szCs w:val="20"/>
        </w:rPr>
        <w:br/>
        <w:t>for i in range(0, len(df_returns) - window_size, 5):</w:t>
      </w:r>
      <w:r w:rsidRPr="007130E7">
        <w:rPr>
          <w:rFonts w:cs="Times New Roman"/>
          <w:color w:val="003264"/>
          <w:sz w:val="20"/>
          <w:szCs w:val="20"/>
        </w:rPr>
        <w:br/>
        <w:t xml:space="preserve">    subset = df_returns.iloc[i : i + window_size]</w:t>
      </w:r>
      <w:r w:rsidRPr="007130E7">
        <w:rPr>
          <w:rFonts w:cs="Times New Roman"/>
          <w:color w:val="003264"/>
          <w:sz w:val="20"/>
          <w:szCs w:val="20"/>
        </w:rPr>
        <w:br/>
        <w:t xml:space="preserve">    # Re-standardize and fit PCA locally</w:t>
      </w:r>
      <w:r w:rsidRPr="007130E7">
        <w:rPr>
          <w:rFonts w:cs="Times New Roman"/>
          <w:color w:val="003264"/>
          <w:sz w:val="20"/>
          <w:szCs w:val="20"/>
        </w:rPr>
        <w:br/>
        <w:t xml:space="preserve">    pca_local = PCA(n_components=1).fit(subset)</w:t>
      </w:r>
      <w:r w:rsidRPr="007130E7">
        <w:rPr>
          <w:rFonts w:cs="Times New Roman"/>
          <w:color w:val="003264"/>
          <w:sz w:val="20"/>
          <w:szCs w:val="20"/>
        </w:rPr>
        <w:br/>
        <w:t xml:space="preserve">    history.append(pca_local.explained_variance_ratio_[0])</w:t>
      </w:r>
    </w:p>
    <w:p w14:paraId="3FF1D3EF" w14:textId="77777777" w:rsidR="00413509" w:rsidRPr="007130E7" w:rsidRDefault="00000000">
      <w:pPr>
        <w:spacing w:after="240"/>
        <w:jc w:val="center"/>
        <w:rPr>
          <w:rFonts w:cs="Times New Roman"/>
          <w:sz w:val="20"/>
          <w:szCs w:val="20"/>
        </w:rPr>
      </w:pPr>
      <w:r w:rsidRPr="007130E7">
        <w:rPr>
          <w:rFonts w:cs="Times New Roman"/>
          <w:sz w:val="20"/>
          <w:szCs w:val="20"/>
        </w:rPr>
        <w:t>Listing 4: Rolling Window Algorithm</w:t>
      </w:r>
    </w:p>
    <w:p w14:paraId="2F7E4006" w14:textId="03F8A9EC" w:rsidR="00F00042" w:rsidRPr="007130E7" w:rsidRDefault="00F00042">
      <w:pPr>
        <w:spacing w:after="120" w:line="252" w:lineRule="auto"/>
        <w:jc w:val="both"/>
        <w:rPr>
          <w:rFonts w:cs="Times New Roman"/>
          <w:i w:val="0"/>
          <w:iCs/>
          <w:sz w:val="20"/>
          <w:szCs w:val="20"/>
        </w:rPr>
      </w:pPr>
      <w:r w:rsidRPr="007130E7">
        <w:rPr>
          <w:rFonts w:cs="Times New Roman"/>
          <w:b/>
          <w:bCs/>
          <w:i w:val="0"/>
          <w:iCs/>
          <w:sz w:val="20"/>
          <w:szCs w:val="20"/>
        </w:rPr>
        <w:t>Operational Rationale</w:t>
      </w:r>
      <w:r w:rsidRPr="007130E7">
        <w:rPr>
          <w:rFonts w:cs="Times New Roman"/>
          <w:i w:val="0"/>
          <w:iCs/>
          <w:sz w:val="20"/>
          <w:szCs w:val="20"/>
        </w:rPr>
        <w:t xml:space="preserve">: We select a trading window of 126 days (about six months). It is long enough to estimate stable covariance structures and yet short enough that it responds to changes in market conditions. For every five days, we roll the window forward and perform PCA with the last six months of data. </w:t>
      </w:r>
      <w:r w:rsidR="00EB0D2F" w:rsidRPr="00EB0D2F">
        <w:rPr>
          <w:rFonts w:cs="Times New Roman"/>
          <w:i w:val="0"/>
          <w:iCs/>
          <w:sz w:val="20"/>
          <w:szCs w:val="20"/>
        </w:rPr>
        <w:t>We record the fraction of variance explained by PC1 for each window.</w:t>
      </w:r>
    </w:p>
    <w:p w14:paraId="5AD5DAFF" w14:textId="100B60E0" w:rsidR="00F00042" w:rsidRPr="007130E7" w:rsidRDefault="00F00042">
      <w:pPr>
        <w:spacing w:after="120" w:line="252" w:lineRule="auto"/>
        <w:jc w:val="both"/>
        <w:rPr>
          <w:rFonts w:cs="Times New Roman"/>
          <w:i w:val="0"/>
          <w:iCs/>
          <w:sz w:val="20"/>
          <w:szCs w:val="20"/>
        </w:rPr>
      </w:pPr>
      <w:r w:rsidRPr="007130E7">
        <w:rPr>
          <w:rFonts w:cs="Times New Roman"/>
          <w:i w:val="0"/>
          <w:iCs/>
          <w:sz w:val="20"/>
          <w:szCs w:val="20"/>
        </w:rPr>
        <w:t>The history series that results is a time series of market integration. When this number catapults up, it indicates that one common factor is suddenly dominating a lot more than usual — usually during periods of market stress or panic. These spikes offer a measure to quantitatively identify regime shifts</w:t>
      </w:r>
      <w:r w:rsidRPr="007130E7">
        <w:rPr>
          <w:rFonts w:cs="Times New Roman"/>
          <w:i w:val="0"/>
          <w:iCs/>
          <w:sz w:val="20"/>
          <w:szCs w:val="20"/>
        </w:rPr>
        <w:t>,</w:t>
      </w:r>
      <w:r w:rsidRPr="007130E7">
        <w:rPr>
          <w:rFonts w:cs="Times New Roman"/>
          <w:i w:val="0"/>
          <w:iCs/>
          <w:sz w:val="20"/>
          <w:szCs w:val="20"/>
        </w:rPr>
        <w:t xml:space="preserve"> and </w:t>
      </w:r>
      <w:r w:rsidRPr="007130E7">
        <w:rPr>
          <w:rFonts w:cs="Times New Roman"/>
          <w:i w:val="0"/>
          <w:iCs/>
          <w:sz w:val="20"/>
          <w:szCs w:val="20"/>
        </w:rPr>
        <w:t>their</w:t>
      </w:r>
      <w:r w:rsidRPr="007130E7">
        <w:rPr>
          <w:rFonts w:cs="Times New Roman"/>
          <w:i w:val="0"/>
          <w:iCs/>
          <w:sz w:val="20"/>
          <w:szCs w:val="20"/>
        </w:rPr>
        <w:t xml:space="preserve"> timing can be compared to the slowdown/crash timing discussed in forecasting literature on the S&amp;P 500 [</w:t>
      </w:r>
      <w:r w:rsidR="000E7CFA">
        <w:rPr>
          <w:rFonts w:cs="Times New Roman"/>
          <w:i w:val="0"/>
          <w:iCs/>
          <w:sz w:val="20"/>
          <w:szCs w:val="20"/>
        </w:rPr>
        <w:t>2,</w:t>
      </w:r>
      <w:r w:rsidR="004B7F9A">
        <w:rPr>
          <w:rFonts w:cs="Times New Roman"/>
          <w:i w:val="0"/>
          <w:iCs/>
          <w:sz w:val="20"/>
          <w:szCs w:val="20"/>
        </w:rPr>
        <w:t xml:space="preserve"> </w:t>
      </w:r>
      <w:r w:rsidRPr="007130E7">
        <w:rPr>
          <w:rFonts w:cs="Times New Roman"/>
          <w:i w:val="0"/>
          <w:iCs/>
          <w:sz w:val="20"/>
          <w:szCs w:val="20"/>
        </w:rPr>
        <w:t>5].</w:t>
      </w:r>
    </w:p>
    <w:bookmarkEnd w:id="0"/>
    <w:p w14:paraId="62001E0C" w14:textId="77777777" w:rsidR="00413509" w:rsidRPr="007A65D3" w:rsidRDefault="00000000">
      <w:pPr>
        <w:pStyle w:val="Heading1"/>
        <w:spacing w:before="240" w:after="120"/>
        <w:rPr>
          <w:rFonts w:ascii="Times New Roman" w:hAnsi="Times New Roman" w:cs="Times New Roman"/>
          <w:i w:val="0"/>
          <w:iCs/>
        </w:rPr>
      </w:pPr>
      <w:r w:rsidRPr="007A65D3">
        <w:rPr>
          <w:rFonts w:ascii="Times New Roman" w:hAnsi="Times New Roman" w:cs="Times New Roman"/>
          <w:i w:val="0"/>
          <w:iCs/>
        </w:rPr>
        <w:lastRenderedPageBreak/>
        <w:t>4. Empirical Results and Discussion</w:t>
      </w:r>
    </w:p>
    <w:p w14:paraId="398D8F0C" w14:textId="77777777" w:rsidR="00413509" w:rsidRPr="007A65D3" w:rsidRDefault="00000000">
      <w:pPr>
        <w:pStyle w:val="Heading2"/>
        <w:spacing w:before="120" w:after="80"/>
        <w:rPr>
          <w:rFonts w:ascii="Times New Roman" w:hAnsi="Times New Roman" w:cs="Times New Roman"/>
          <w:i w:val="0"/>
          <w:iCs/>
          <w:lang w:eastAsia="zh-TW"/>
        </w:rPr>
      </w:pPr>
      <w:r w:rsidRPr="007A65D3">
        <w:rPr>
          <w:rFonts w:ascii="Times New Roman" w:hAnsi="Times New Roman" w:cs="Times New Roman"/>
          <w:i w:val="0"/>
          <w:iCs/>
        </w:rPr>
        <w:t>4.1 Systemic Risk Quantified</w:t>
      </w:r>
    </w:p>
    <w:p w14:paraId="4463105B" w14:textId="475633F9" w:rsidR="006C0001" w:rsidRPr="007130E7" w:rsidRDefault="004B7F9A" w:rsidP="006C0001">
      <w:pPr>
        <w:spacing w:after="120" w:line="252" w:lineRule="auto"/>
        <w:jc w:val="both"/>
        <w:rPr>
          <w:rFonts w:cs="Times New Roman"/>
          <w:i w:val="0"/>
          <w:iCs/>
          <w:sz w:val="20"/>
          <w:szCs w:val="20"/>
        </w:rPr>
      </w:pPr>
      <w:r w:rsidRPr="004B7F9A">
        <w:rPr>
          <w:rFonts w:cs="Times New Roman"/>
          <w:i w:val="0"/>
          <w:iCs/>
          <w:sz w:val="20"/>
          <w:szCs w:val="20"/>
        </w:rPr>
        <w:t>The first question we ask is: “How connected is the S&amp;P 500 as a whole?”</w:t>
      </w:r>
      <w:r>
        <w:rPr>
          <w:rFonts w:cs="Times New Roman"/>
          <w:i w:val="0"/>
          <w:iCs/>
          <w:sz w:val="20"/>
          <w:szCs w:val="20"/>
        </w:rPr>
        <w:t xml:space="preserve"> </w:t>
      </w:r>
      <w:r w:rsidR="006C0001" w:rsidRPr="007130E7">
        <w:rPr>
          <w:rFonts w:cs="Times New Roman"/>
          <w:i w:val="0"/>
          <w:iCs/>
          <w:sz w:val="20"/>
          <w:szCs w:val="20"/>
        </w:rPr>
        <w:t>PCA provides us with a straightforward way to quantify this. In the Scree Plot (Figure 2), we can see what percentage of variance is explained by each principal component. The result is</w:t>
      </w:r>
      <w:r w:rsidR="003C01A1">
        <w:rPr>
          <w:rFonts w:cs="Times New Roman"/>
          <w:i w:val="0"/>
          <w:iCs/>
          <w:sz w:val="20"/>
          <w:szCs w:val="20"/>
        </w:rPr>
        <w:t xml:space="preserve"> </w:t>
      </w:r>
      <w:r w:rsidR="006C0001" w:rsidRPr="007130E7">
        <w:rPr>
          <w:rFonts w:cs="Times New Roman"/>
          <w:i w:val="0"/>
          <w:iCs/>
          <w:sz w:val="20"/>
          <w:szCs w:val="20"/>
        </w:rPr>
        <w:t>striking:</w:t>
      </w:r>
    </w:p>
    <w:p w14:paraId="4ACEC7E0" w14:textId="77777777" w:rsidR="006C0001" w:rsidRPr="007130E7" w:rsidRDefault="006C0001" w:rsidP="006C0001">
      <w:pPr>
        <w:pStyle w:val="ListParagraph"/>
        <w:numPr>
          <w:ilvl w:val="0"/>
          <w:numId w:val="11"/>
        </w:numPr>
        <w:spacing w:after="120" w:line="252" w:lineRule="auto"/>
        <w:jc w:val="both"/>
        <w:rPr>
          <w:rFonts w:cs="Times New Roman"/>
          <w:i w:val="0"/>
          <w:iCs/>
          <w:sz w:val="20"/>
          <w:szCs w:val="20"/>
        </w:rPr>
      </w:pPr>
      <w:r w:rsidRPr="007130E7">
        <w:rPr>
          <w:rFonts w:cs="Times New Roman"/>
          <w:i w:val="0"/>
          <w:iCs/>
          <w:sz w:val="20"/>
          <w:szCs w:val="20"/>
        </w:rPr>
        <w:t>PC1 accounts for about 40% of the overall variance of daily return.</w:t>
      </w:r>
    </w:p>
    <w:p w14:paraId="3C7834E5" w14:textId="0AFC4E87" w:rsidR="006C0001" w:rsidRPr="007130E7" w:rsidRDefault="006C0001" w:rsidP="006C0001">
      <w:pPr>
        <w:pStyle w:val="ListParagraph"/>
        <w:numPr>
          <w:ilvl w:val="0"/>
          <w:numId w:val="11"/>
        </w:numPr>
        <w:spacing w:after="120" w:line="252" w:lineRule="auto"/>
        <w:jc w:val="both"/>
        <w:rPr>
          <w:rFonts w:cs="Times New Roman"/>
          <w:i w:val="0"/>
          <w:iCs/>
          <w:sz w:val="20"/>
          <w:szCs w:val="20"/>
        </w:rPr>
      </w:pPr>
      <w:r w:rsidRPr="007130E7">
        <w:rPr>
          <w:rFonts w:cs="Times New Roman"/>
          <w:i w:val="0"/>
          <w:iCs/>
          <w:sz w:val="20"/>
          <w:szCs w:val="20"/>
        </w:rPr>
        <w:t>PC2 accounts for only ~5%, and the rest even less.</w:t>
      </w:r>
    </w:p>
    <w:p w14:paraId="47C5F4A1" w14:textId="4036D894" w:rsidR="006C0001" w:rsidRPr="007130E7" w:rsidRDefault="007130E7" w:rsidP="006C0001">
      <w:pPr>
        <w:spacing w:after="120" w:line="252" w:lineRule="auto"/>
        <w:jc w:val="both"/>
        <w:rPr>
          <w:rFonts w:cs="Times New Roman"/>
          <w:i w:val="0"/>
          <w:iCs/>
          <w:sz w:val="20"/>
          <w:szCs w:val="20"/>
        </w:rPr>
      </w:pPr>
      <w:r w:rsidRPr="00BC7D76">
        <w:rPr>
          <w:rFonts w:cs="Times New Roman"/>
          <w:noProof/>
        </w:rPr>
        <w:drawing>
          <wp:anchor distT="0" distB="0" distL="114300" distR="114300" simplePos="0" relativeHeight="251654144" behindDoc="1" locked="0" layoutInCell="1" allowOverlap="1" wp14:anchorId="204FF506" wp14:editId="62648921">
            <wp:simplePos x="0" y="0"/>
            <wp:positionH relativeFrom="column">
              <wp:posOffset>4561205</wp:posOffset>
            </wp:positionH>
            <wp:positionV relativeFrom="paragraph">
              <wp:posOffset>118745</wp:posOffset>
            </wp:positionV>
            <wp:extent cx="2077720" cy="1509395"/>
            <wp:effectExtent l="0" t="0" r="5080" b="1905"/>
            <wp:wrapTight wrapText="bothSides">
              <wp:wrapPolygon edited="0">
                <wp:start x="0" y="0"/>
                <wp:lineTo x="0" y="21446"/>
                <wp:lineTo x="21521" y="21446"/>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cree_plot.png"/>
                    <pic:cNvPicPr/>
                  </pic:nvPicPr>
                  <pic:blipFill>
                    <a:blip r:embed="rId6"/>
                    <a:stretch>
                      <a:fillRect/>
                    </a:stretch>
                  </pic:blipFill>
                  <pic:spPr>
                    <a:xfrm>
                      <a:off x="0" y="0"/>
                      <a:ext cx="2077720" cy="1509395"/>
                    </a:xfrm>
                    <a:prstGeom prst="rect">
                      <a:avLst/>
                    </a:prstGeom>
                  </pic:spPr>
                </pic:pic>
              </a:graphicData>
            </a:graphic>
            <wp14:sizeRelH relativeFrom="page">
              <wp14:pctWidth>0</wp14:pctWidth>
            </wp14:sizeRelH>
            <wp14:sizeRelV relativeFrom="page">
              <wp14:pctHeight>0</wp14:pctHeight>
            </wp14:sizeRelV>
          </wp:anchor>
        </w:drawing>
      </w:r>
    </w:p>
    <w:p w14:paraId="42818F42" w14:textId="20ABAF9F" w:rsidR="006C0001" w:rsidRPr="007130E7" w:rsidRDefault="006C0001" w:rsidP="006C0001">
      <w:pPr>
        <w:spacing w:after="120" w:line="252" w:lineRule="auto"/>
        <w:jc w:val="both"/>
        <w:rPr>
          <w:rFonts w:cs="Times New Roman"/>
          <w:i w:val="0"/>
          <w:iCs/>
          <w:sz w:val="20"/>
          <w:szCs w:val="20"/>
          <w:lang w:val="en-GB"/>
        </w:rPr>
      </w:pPr>
      <w:r w:rsidRPr="007130E7">
        <w:rPr>
          <w:rFonts w:cs="Times New Roman"/>
          <w:i w:val="0"/>
          <w:iCs/>
          <w:sz w:val="20"/>
          <w:szCs w:val="20"/>
          <w:lang w:val="en-GB"/>
        </w:rPr>
        <w:t>In practice, this means that a single common factor has already captured much of how S&amp;P 500 stocks move. When PC1 accounts for almost 40% alone, the market can be said to be strongly integrated: there are lots of stocks acting in response to the same underlying drive.</w:t>
      </w:r>
    </w:p>
    <w:p w14:paraId="7DF9FFC2" w14:textId="131F8680" w:rsidR="00413509" w:rsidRPr="007130E7" w:rsidRDefault="006C0001" w:rsidP="007130E7">
      <w:pPr>
        <w:spacing w:after="120" w:line="252" w:lineRule="auto"/>
        <w:jc w:val="both"/>
        <w:rPr>
          <w:rFonts w:cs="Times New Roman"/>
          <w:i w:val="0"/>
          <w:iCs/>
          <w:sz w:val="20"/>
          <w:szCs w:val="20"/>
          <w:lang w:val="en-GB"/>
        </w:rPr>
      </w:pPr>
      <w:r w:rsidRPr="007130E7">
        <w:rPr>
          <w:rFonts w:cs="Times New Roman"/>
          <w:i w:val="0"/>
          <w:iCs/>
          <w:sz w:val="20"/>
          <w:szCs w:val="20"/>
          <w:lang w:val="en-GB"/>
        </w:rPr>
        <w:t xml:space="preserve">The form the Scree Plot takes also has a distinct “elbow” after PC1 and PC2. The curve is fast decreasing from PC1 to </w:t>
      </w:r>
      <w:proofErr w:type="gramStart"/>
      <w:r w:rsidRPr="007130E7">
        <w:rPr>
          <w:rFonts w:cs="Times New Roman"/>
          <w:i w:val="0"/>
          <w:iCs/>
          <w:sz w:val="20"/>
          <w:szCs w:val="20"/>
          <w:lang w:val="en-GB"/>
        </w:rPr>
        <w:t>PC2</w:t>
      </w:r>
      <w:r w:rsidRPr="007130E7">
        <w:rPr>
          <w:rFonts w:cs="Times New Roman"/>
          <w:i w:val="0"/>
          <w:iCs/>
          <w:sz w:val="20"/>
          <w:szCs w:val="20"/>
          <w:lang w:val="en-GB"/>
        </w:rPr>
        <w:t>,</w:t>
      </w:r>
      <w:r w:rsidRPr="007130E7">
        <w:rPr>
          <w:rFonts w:cs="Times New Roman"/>
          <w:i w:val="0"/>
          <w:iCs/>
          <w:sz w:val="20"/>
          <w:szCs w:val="20"/>
          <w:lang w:val="en-GB"/>
        </w:rPr>
        <w:t xml:space="preserve"> but</w:t>
      </w:r>
      <w:proofErr w:type="gramEnd"/>
      <w:r w:rsidRPr="007130E7">
        <w:rPr>
          <w:rFonts w:cs="Times New Roman"/>
          <w:i w:val="0"/>
          <w:iCs/>
          <w:sz w:val="20"/>
          <w:szCs w:val="20"/>
          <w:lang w:val="en-GB"/>
        </w:rPr>
        <w:t xml:space="preserve"> becomes almost </w:t>
      </w:r>
      <w:r w:rsidRPr="007130E7">
        <w:rPr>
          <w:rFonts w:cs="Times New Roman"/>
          <w:i w:val="0"/>
          <w:iCs/>
          <w:sz w:val="20"/>
          <w:szCs w:val="20"/>
          <w:lang w:val="en-GB"/>
        </w:rPr>
        <w:t xml:space="preserve">a flat </w:t>
      </w:r>
      <w:r w:rsidRPr="007130E7">
        <w:rPr>
          <w:rFonts w:cs="Times New Roman"/>
          <w:i w:val="0"/>
          <w:iCs/>
          <w:sz w:val="20"/>
          <w:szCs w:val="20"/>
          <w:lang w:val="en-GB"/>
        </w:rPr>
        <w:t xml:space="preserve">line afterwards. This pattern suggests that including additional factors beyond the first few does not contribute much explanatory power. This tends to support </w:t>
      </w:r>
      <w:r w:rsidRPr="007130E7">
        <w:rPr>
          <w:rFonts w:cs="Times New Roman"/>
          <w:i w:val="0"/>
          <w:iCs/>
          <w:sz w:val="20"/>
          <w:szCs w:val="20"/>
          <w:lang w:val="en-GB"/>
        </w:rPr>
        <w:t>a</w:t>
      </w:r>
      <w:r w:rsidRPr="007130E7">
        <w:rPr>
          <w:rFonts w:cs="Times New Roman"/>
          <w:i w:val="0"/>
          <w:iCs/>
          <w:sz w:val="20"/>
          <w:szCs w:val="20"/>
          <w:lang w:val="en-GB"/>
        </w:rPr>
        <w:t xml:space="preserve"> </w:t>
      </w:r>
      <w:r w:rsidRPr="007130E7">
        <w:rPr>
          <w:rFonts w:cs="Times New Roman"/>
          <w:i w:val="0"/>
          <w:iCs/>
          <w:sz w:val="20"/>
          <w:szCs w:val="20"/>
          <w:lang w:val="en-GB"/>
        </w:rPr>
        <w:t>one-</w:t>
      </w:r>
      <w:r w:rsidRPr="007130E7">
        <w:rPr>
          <w:rFonts w:cs="Times New Roman"/>
          <w:i w:val="0"/>
          <w:iCs/>
          <w:sz w:val="20"/>
          <w:szCs w:val="20"/>
          <w:lang w:val="en-GB"/>
        </w:rPr>
        <w:t>factor or low-factor model for the S&amp;P 500 in this period</w:t>
      </w:r>
      <w:r w:rsidRPr="007130E7">
        <w:rPr>
          <w:rFonts w:cs="Times New Roman"/>
          <w:i w:val="0"/>
          <w:iCs/>
          <w:sz w:val="20"/>
          <w:szCs w:val="20"/>
          <w:lang w:val="en-GB"/>
        </w:rPr>
        <w:t>,</w:t>
      </w:r>
      <w:r w:rsidRPr="007130E7">
        <w:rPr>
          <w:rFonts w:cs="Times New Roman"/>
          <w:i w:val="0"/>
          <w:iCs/>
          <w:sz w:val="20"/>
          <w:szCs w:val="20"/>
          <w:lang w:val="en-GB"/>
        </w:rPr>
        <w:t xml:space="preserve"> while a true system is high-dimensional.</w:t>
      </w:r>
    </w:p>
    <w:p w14:paraId="7AD5B84C" w14:textId="2B1557B3" w:rsidR="00413509" w:rsidRPr="007130E7" w:rsidRDefault="007130E7" w:rsidP="006C0001">
      <w:pPr>
        <w:pStyle w:val="Caption"/>
        <w:jc w:val="center"/>
        <w:rPr>
          <w:rFonts w:cs="Times New Roman"/>
          <w:sz w:val="20"/>
          <w:szCs w:val="20"/>
        </w:rPr>
      </w:pPr>
      <w:r>
        <w:rPr>
          <w:rFonts w:cs="Times New Roman"/>
          <w:sz w:val="20"/>
          <w:szCs w:val="20"/>
        </w:rPr>
        <w:t xml:space="preserve">                                                                                                                              </w:t>
      </w:r>
      <w:r w:rsidR="00000000" w:rsidRPr="007130E7">
        <w:rPr>
          <w:rFonts w:cs="Times New Roman"/>
          <w:sz w:val="20"/>
          <w:szCs w:val="20"/>
        </w:rPr>
        <w:t>Figure 2: PCA Scree Plot showing variance decay.</w:t>
      </w:r>
    </w:p>
    <w:p w14:paraId="4B2FB524" w14:textId="6E60267A" w:rsidR="008A0B1F" w:rsidRPr="008A0B1F" w:rsidRDefault="00000000" w:rsidP="008A0B1F">
      <w:pPr>
        <w:pStyle w:val="Heading2"/>
        <w:spacing w:before="120" w:after="80"/>
        <w:rPr>
          <w:rFonts w:ascii="Times New Roman" w:hAnsi="Times New Roman" w:cs="Times New Roman"/>
          <w:i w:val="0"/>
          <w:iCs/>
        </w:rPr>
      </w:pPr>
      <w:r w:rsidRPr="008A0B1F">
        <w:rPr>
          <w:rFonts w:ascii="Times New Roman" w:hAnsi="Times New Roman" w:cs="Times New Roman"/>
          <w:i w:val="0"/>
          <w:iCs/>
        </w:rPr>
        <w:t>4.2 Identifying Market Drivers: The Tech Oligopoly</w:t>
      </w:r>
    </w:p>
    <w:p w14:paraId="5BF369CB" w14:textId="595B3C30" w:rsidR="008A0B1F" w:rsidRPr="007130E7" w:rsidRDefault="008A0B1F" w:rsidP="008A0B1F">
      <w:pPr>
        <w:rPr>
          <w:rFonts w:cs="Times New Roman"/>
          <w:i w:val="0"/>
          <w:iCs/>
          <w:sz w:val="20"/>
          <w:szCs w:val="24"/>
        </w:rPr>
      </w:pPr>
      <w:r w:rsidRPr="007130E7">
        <w:rPr>
          <w:rFonts w:cs="Times New Roman"/>
          <w:i w:val="0"/>
          <w:iCs/>
          <w:sz w:val="20"/>
          <w:szCs w:val="24"/>
        </w:rPr>
        <w:t>If PC1 is dominant, then we should ask next:</w:t>
      </w:r>
      <w:r w:rsidRPr="007130E7">
        <w:rPr>
          <w:rFonts w:cs="Times New Roman"/>
          <w:i w:val="0"/>
          <w:iCs/>
          <w:sz w:val="20"/>
          <w:szCs w:val="24"/>
        </w:rPr>
        <w:t xml:space="preserve"> </w:t>
      </w:r>
      <w:r w:rsidRPr="007130E7">
        <w:rPr>
          <w:rFonts w:cs="Times New Roman"/>
          <w:i w:val="0"/>
          <w:iCs/>
          <w:sz w:val="20"/>
          <w:szCs w:val="24"/>
        </w:rPr>
        <w:t>So</w:t>
      </w:r>
      <w:r w:rsidR="00EB0D2F">
        <w:rPr>
          <w:rFonts w:cs="Times New Roman"/>
          <w:i w:val="0"/>
          <w:iCs/>
          <w:sz w:val="20"/>
          <w:szCs w:val="24"/>
        </w:rPr>
        <w:t>,</w:t>
      </w:r>
      <w:r w:rsidRPr="007130E7">
        <w:rPr>
          <w:rFonts w:cs="Times New Roman"/>
          <w:i w:val="0"/>
          <w:iCs/>
          <w:sz w:val="20"/>
          <w:szCs w:val="24"/>
        </w:rPr>
        <w:t xml:space="preserve"> which stocks are </w:t>
      </w:r>
      <w:proofErr w:type="gramStart"/>
      <w:r w:rsidRPr="007130E7">
        <w:rPr>
          <w:rFonts w:cs="Times New Roman"/>
          <w:i w:val="0"/>
          <w:iCs/>
          <w:sz w:val="20"/>
          <w:szCs w:val="24"/>
        </w:rPr>
        <w:t>actually driving</w:t>
      </w:r>
      <w:proofErr w:type="gramEnd"/>
      <w:r w:rsidRPr="007130E7">
        <w:rPr>
          <w:rFonts w:cs="Times New Roman"/>
          <w:i w:val="0"/>
          <w:iCs/>
          <w:sz w:val="20"/>
          <w:szCs w:val="24"/>
        </w:rPr>
        <w:t xml:space="preserve"> this major catalyst?</w:t>
      </w:r>
      <w:r w:rsidRPr="007130E7">
        <w:rPr>
          <w:rFonts w:cs="Times New Roman"/>
          <w:i w:val="0"/>
          <w:iCs/>
          <w:sz w:val="20"/>
          <w:szCs w:val="24"/>
        </w:rPr>
        <w:t xml:space="preserve"> </w:t>
      </w:r>
      <w:r w:rsidRPr="007130E7">
        <w:rPr>
          <w:rFonts w:cs="Times New Roman"/>
          <w:i w:val="0"/>
          <w:iCs/>
          <w:sz w:val="20"/>
          <w:szCs w:val="24"/>
        </w:rPr>
        <w:t>To do this, we look at the loadings of PC1</w:t>
      </w:r>
      <w:r w:rsidR="00EB0D2F">
        <w:rPr>
          <w:rFonts w:cs="Times New Roman"/>
          <w:i w:val="0"/>
          <w:iCs/>
          <w:sz w:val="20"/>
          <w:szCs w:val="24"/>
        </w:rPr>
        <w:t>,</w:t>
      </w:r>
      <w:r w:rsidRPr="007130E7">
        <w:rPr>
          <w:rFonts w:cs="Times New Roman"/>
          <w:i w:val="0"/>
          <w:iCs/>
          <w:sz w:val="20"/>
          <w:szCs w:val="24"/>
        </w:rPr>
        <w:t xml:space="preserve"> which essentially tells us how much each stock contributes to the first principal component. Stocks are ordered according to the PC1 loadings</w:t>
      </w:r>
      <w:r w:rsidR="00EB0D2F">
        <w:rPr>
          <w:rFonts w:cs="Times New Roman"/>
          <w:i w:val="0"/>
          <w:iCs/>
          <w:sz w:val="20"/>
          <w:szCs w:val="24"/>
        </w:rPr>
        <w:t>,</w:t>
      </w:r>
      <w:r w:rsidRPr="007130E7">
        <w:rPr>
          <w:rFonts w:cs="Times New Roman"/>
          <w:i w:val="0"/>
          <w:iCs/>
          <w:sz w:val="20"/>
          <w:szCs w:val="24"/>
        </w:rPr>
        <w:t xml:space="preserve"> and </w:t>
      </w:r>
      <w:r w:rsidR="00EB0D2F">
        <w:rPr>
          <w:rFonts w:cs="Times New Roman"/>
          <w:i w:val="0"/>
          <w:iCs/>
          <w:sz w:val="20"/>
          <w:szCs w:val="24"/>
        </w:rPr>
        <w:t xml:space="preserve">the </w:t>
      </w:r>
      <w:r w:rsidRPr="007130E7">
        <w:rPr>
          <w:rFonts w:cs="Times New Roman"/>
          <w:i w:val="0"/>
          <w:iCs/>
          <w:sz w:val="20"/>
          <w:szCs w:val="24"/>
        </w:rPr>
        <w:t>top contributors are presented in Fig</w:t>
      </w:r>
      <w:r w:rsidR="00EB0D2F">
        <w:rPr>
          <w:rFonts w:cs="Times New Roman"/>
          <w:i w:val="0"/>
          <w:iCs/>
          <w:sz w:val="20"/>
          <w:szCs w:val="24"/>
        </w:rPr>
        <w:t>.</w:t>
      </w:r>
      <w:r w:rsidRPr="007130E7">
        <w:rPr>
          <w:rFonts w:cs="Times New Roman"/>
          <w:i w:val="0"/>
          <w:iCs/>
          <w:sz w:val="20"/>
          <w:szCs w:val="24"/>
        </w:rPr>
        <w:t xml:space="preserve"> 3.</w:t>
      </w:r>
      <w:r w:rsidR="007130E7">
        <w:rPr>
          <w:rFonts w:cs="Times New Roman"/>
          <w:i w:val="0"/>
          <w:iCs/>
          <w:sz w:val="20"/>
          <w:szCs w:val="24"/>
        </w:rPr>
        <w:t xml:space="preserve"> </w:t>
      </w:r>
      <w:r w:rsidRPr="007130E7">
        <w:rPr>
          <w:rFonts w:cs="Times New Roman"/>
          <w:i w:val="0"/>
          <w:iCs/>
          <w:sz w:val="20"/>
          <w:szCs w:val="24"/>
        </w:rPr>
        <w:t>The result is very clear:</w:t>
      </w:r>
    </w:p>
    <w:p w14:paraId="3FBC7D41" w14:textId="1C20F3C0" w:rsidR="008A0B1F" w:rsidRPr="007130E7" w:rsidRDefault="008A0B1F" w:rsidP="008A0B1F">
      <w:pPr>
        <w:pStyle w:val="ListParagraph"/>
        <w:numPr>
          <w:ilvl w:val="0"/>
          <w:numId w:val="14"/>
        </w:numPr>
        <w:rPr>
          <w:rFonts w:cs="Times New Roman"/>
          <w:i w:val="0"/>
          <w:iCs/>
          <w:sz w:val="20"/>
          <w:szCs w:val="24"/>
        </w:rPr>
      </w:pPr>
      <w:r w:rsidRPr="007130E7">
        <w:rPr>
          <w:rFonts w:cs="Times New Roman"/>
          <w:i w:val="0"/>
          <w:iCs/>
          <w:sz w:val="20"/>
          <w:szCs w:val="24"/>
        </w:rPr>
        <w:t>Most of the highest loadings come from mega-cap technology names such as Nvidia (NVDA), Microsoft (MSFT) and Apple (AAPL).</w:t>
      </w:r>
    </w:p>
    <w:p w14:paraId="4BB2D504" w14:textId="2B9DDB45" w:rsidR="008A0B1F" w:rsidRPr="007130E7" w:rsidRDefault="008A0B1F" w:rsidP="008A0B1F">
      <w:pPr>
        <w:pStyle w:val="ListParagraph"/>
        <w:numPr>
          <w:ilvl w:val="0"/>
          <w:numId w:val="14"/>
        </w:numPr>
        <w:rPr>
          <w:rFonts w:cs="Times New Roman"/>
          <w:i w:val="0"/>
          <w:iCs/>
          <w:sz w:val="20"/>
          <w:szCs w:val="24"/>
        </w:rPr>
      </w:pPr>
      <w:r w:rsidRPr="007130E7">
        <w:rPr>
          <w:rFonts w:cs="Times New Roman"/>
          <w:i w:val="0"/>
          <w:iCs/>
          <w:sz w:val="20"/>
          <w:szCs w:val="24"/>
        </w:rPr>
        <w:t>Old-line sectors like utilities, small financials or consumer staples barely register in the top list.</w:t>
      </w:r>
    </w:p>
    <w:p w14:paraId="4E2A64C4" w14:textId="600FDABD" w:rsidR="008A0B1F" w:rsidRPr="007130E7" w:rsidRDefault="007130E7" w:rsidP="008A0B1F">
      <w:pPr>
        <w:rPr>
          <w:rFonts w:cs="Times New Roman"/>
          <w:i w:val="0"/>
          <w:iCs/>
          <w:sz w:val="20"/>
          <w:szCs w:val="24"/>
        </w:rPr>
      </w:pPr>
      <w:r w:rsidRPr="007130E7">
        <w:rPr>
          <w:noProof/>
          <w:sz w:val="20"/>
          <w:szCs w:val="24"/>
        </w:rPr>
        <w:drawing>
          <wp:anchor distT="0" distB="0" distL="114300" distR="114300" simplePos="0" relativeHeight="251657216" behindDoc="1" locked="0" layoutInCell="1" allowOverlap="1" wp14:anchorId="28B68B33" wp14:editId="4F46E601">
            <wp:simplePos x="0" y="0"/>
            <wp:positionH relativeFrom="column">
              <wp:posOffset>4500245</wp:posOffset>
            </wp:positionH>
            <wp:positionV relativeFrom="paragraph">
              <wp:posOffset>567055</wp:posOffset>
            </wp:positionV>
            <wp:extent cx="2138045" cy="1371600"/>
            <wp:effectExtent l="0" t="0" r="0" b="0"/>
            <wp:wrapTight wrapText="bothSides">
              <wp:wrapPolygon edited="0">
                <wp:start x="0" y="0"/>
                <wp:lineTo x="0" y="21400"/>
                <wp:lineTo x="21427" y="21400"/>
                <wp:lineTo x="2142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1_loadings.png"/>
                    <pic:cNvPicPr/>
                  </pic:nvPicPr>
                  <pic:blipFill>
                    <a:blip r:embed="rId7"/>
                    <a:stretch>
                      <a:fillRect/>
                    </a:stretch>
                  </pic:blipFill>
                  <pic:spPr>
                    <a:xfrm>
                      <a:off x="0" y="0"/>
                      <a:ext cx="2138045" cy="1371600"/>
                    </a:xfrm>
                    <a:prstGeom prst="rect">
                      <a:avLst/>
                    </a:prstGeom>
                  </pic:spPr>
                </pic:pic>
              </a:graphicData>
            </a:graphic>
            <wp14:sizeRelH relativeFrom="page">
              <wp14:pctWidth>0</wp14:pctWidth>
            </wp14:sizeRelH>
            <wp14:sizeRelV relativeFrom="page">
              <wp14:pctHeight>0</wp14:pctHeight>
            </wp14:sizeRelV>
          </wp:anchor>
        </w:drawing>
      </w:r>
      <w:r w:rsidR="008A0B1F" w:rsidRPr="007130E7">
        <w:rPr>
          <w:rFonts w:cs="Times New Roman"/>
          <w:i w:val="0"/>
          <w:iCs/>
          <w:sz w:val="20"/>
          <w:szCs w:val="24"/>
        </w:rPr>
        <w:t>What this means is that in our sample, the S&amp;P 500 behaves as a “top-heavy” index: The overall movement of the index is dependent on only a few very large technology companies. From a pragmatic viewpoint</w:t>
      </w:r>
      <w:r w:rsidR="00EB0D2F">
        <w:rPr>
          <w:rFonts w:cs="Times New Roman"/>
          <w:i w:val="0"/>
          <w:iCs/>
          <w:sz w:val="20"/>
          <w:szCs w:val="24"/>
        </w:rPr>
        <w:t xml:space="preserve">, </w:t>
      </w:r>
      <w:r w:rsidR="008A0B1F" w:rsidRPr="007130E7">
        <w:rPr>
          <w:rFonts w:cs="Times New Roman"/>
          <w:i w:val="0"/>
          <w:iCs/>
          <w:sz w:val="20"/>
          <w:szCs w:val="24"/>
        </w:rPr>
        <w:t>predicting the S&amp;P 500 [6] direction is, in this environment, almost equivalent to predicting tech sector performance.</w:t>
      </w:r>
    </w:p>
    <w:p w14:paraId="03E3BD16" w14:textId="5620DCB6" w:rsidR="008A0B1F" w:rsidRPr="007130E7" w:rsidRDefault="008A0B1F" w:rsidP="008A0B1F">
      <w:pPr>
        <w:rPr>
          <w:rFonts w:cs="Times New Roman"/>
          <w:i w:val="0"/>
          <w:iCs/>
          <w:sz w:val="20"/>
          <w:szCs w:val="24"/>
        </w:rPr>
      </w:pPr>
      <w:r w:rsidRPr="007130E7">
        <w:rPr>
          <w:rFonts w:cs="Times New Roman"/>
          <w:i w:val="0"/>
          <w:iCs/>
          <w:sz w:val="20"/>
          <w:szCs w:val="24"/>
        </w:rPr>
        <w:t>This result also</w:t>
      </w:r>
      <w:r w:rsidRPr="007130E7">
        <w:rPr>
          <w:rFonts w:cs="Times New Roman"/>
          <w:i w:val="0"/>
          <w:iCs/>
          <w:sz w:val="20"/>
          <w:szCs w:val="24"/>
        </w:rPr>
        <w:t xml:space="preserve"> </w:t>
      </w:r>
      <w:r w:rsidRPr="007130E7">
        <w:rPr>
          <w:rFonts w:cs="Times New Roman"/>
          <w:i w:val="0"/>
          <w:iCs/>
          <w:sz w:val="20"/>
          <w:szCs w:val="24"/>
        </w:rPr>
        <w:t xml:space="preserve">has implications for </w:t>
      </w:r>
      <w:r w:rsidRPr="007130E7">
        <w:rPr>
          <w:rFonts w:cs="Times New Roman"/>
          <w:i w:val="0"/>
          <w:iCs/>
          <w:sz w:val="20"/>
          <w:szCs w:val="24"/>
        </w:rPr>
        <w:t>the</w:t>
      </w:r>
      <w:r w:rsidRPr="007130E7">
        <w:rPr>
          <w:rFonts w:cs="Times New Roman"/>
          <w:i w:val="0"/>
          <w:iCs/>
          <w:sz w:val="20"/>
          <w:szCs w:val="24"/>
        </w:rPr>
        <w:t xml:space="preserve"> </w:t>
      </w:r>
      <w:r w:rsidRPr="007130E7">
        <w:rPr>
          <w:rFonts w:cs="Times New Roman"/>
          <w:i w:val="0"/>
          <w:iCs/>
          <w:sz w:val="20"/>
          <w:szCs w:val="24"/>
        </w:rPr>
        <w:t>broader</w:t>
      </w:r>
      <w:r w:rsidRPr="007130E7">
        <w:rPr>
          <w:rFonts w:cs="Times New Roman"/>
          <w:i w:val="0"/>
          <w:iCs/>
          <w:sz w:val="20"/>
          <w:szCs w:val="24"/>
        </w:rPr>
        <w:t xml:space="preserve"> literature on passive investing and structural diversification. A lot of investors purchase index funds to “get the market” and to diversify away individual risk. Our findings indicate that this diversification might be less extensive than it seems:</w:t>
      </w:r>
    </w:p>
    <w:p w14:paraId="04DB815A" w14:textId="2DF72467" w:rsidR="008A0B1F" w:rsidRPr="007130E7" w:rsidRDefault="008A0B1F" w:rsidP="008A0B1F">
      <w:pPr>
        <w:pStyle w:val="ListParagraph"/>
        <w:numPr>
          <w:ilvl w:val="0"/>
          <w:numId w:val="15"/>
        </w:numPr>
        <w:rPr>
          <w:rFonts w:cs="Times New Roman"/>
          <w:i w:val="0"/>
          <w:iCs/>
          <w:sz w:val="20"/>
          <w:szCs w:val="24"/>
        </w:rPr>
      </w:pPr>
      <w:r w:rsidRPr="007130E7">
        <w:rPr>
          <w:rFonts w:cs="Times New Roman"/>
          <w:i w:val="0"/>
          <w:iCs/>
          <w:sz w:val="20"/>
          <w:szCs w:val="24"/>
        </w:rPr>
        <w:t>Passive indexing does offer access to the market’s beta in aggregate</w:t>
      </w:r>
    </w:p>
    <w:p w14:paraId="0C258F0B" w14:textId="19FFA678" w:rsidR="00413509" w:rsidRPr="007130E7" w:rsidRDefault="008A0B1F" w:rsidP="007130E7">
      <w:pPr>
        <w:pStyle w:val="ListParagraph"/>
        <w:numPr>
          <w:ilvl w:val="0"/>
          <w:numId w:val="15"/>
        </w:numPr>
        <w:rPr>
          <w:rFonts w:cs="Times New Roman"/>
          <w:i w:val="0"/>
          <w:iCs/>
          <w:sz w:val="20"/>
          <w:szCs w:val="24"/>
        </w:rPr>
      </w:pPr>
      <w:r w:rsidRPr="007130E7">
        <w:rPr>
          <w:rFonts w:cs="Times New Roman"/>
          <w:i w:val="0"/>
          <w:iCs/>
          <w:sz w:val="20"/>
          <w:szCs w:val="24"/>
        </w:rPr>
        <w:t>However, as the index is so focused, it does not ensure diversification across genuinely uncorrelated risk drivers.</w:t>
      </w:r>
    </w:p>
    <w:p w14:paraId="17ED5F6E" w14:textId="6F9CA8AE" w:rsidR="00413509" w:rsidRPr="007130E7" w:rsidRDefault="007130E7" w:rsidP="006F7EDD">
      <w:pPr>
        <w:pStyle w:val="Caption"/>
        <w:jc w:val="center"/>
        <w:rPr>
          <w:rFonts w:cs="Times New Roman"/>
          <w:sz w:val="20"/>
          <w:szCs w:val="20"/>
        </w:rPr>
      </w:pPr>
      <w:r>
        <w:rPr>
          <w:rFonts w:cs="Times New Roman"/>
          <w:sz w:val="20"/>
          <w:szCs w:val="20"/>
        </w:rPr>
        <w:t xml:space="preserve">                                                                                                               </w:t>
      </w:r>
      <w:r>
        <w:rPr>
          <w:rFonts w:cs="Times New Roman"/>
          <w:sz w:val="20"/>
          <w:szCs w:val="20"/>
        </w:rPr>
        <w:t xml:space="preserve">                      </w:t>
      </w:r>
      <w:r w:rsidR="00000000" w:rsidRPr="007130E7">
        <w:rPr>
          <w:rFonts w:cs="Times New Roman"/>
          <w:sz w:val="20"/>
          <w:szCs w:val="20"/>
        </w:rPr>
        <w:t>Figure 3: Top 30 Stocks driving Systemic Risk.</w:t>
      </w:r>
    </w:p>
    <w:p w14:paraId="6539A44B" w14:textId="4424C399" w:rsidR="00FA7AE5" w:rsidRPr="00A50AEA" w:rsidRDefault="00000000" w:rsidP="00FA7AE5">
      <w:pPr>
        <w:pStyle w:val="Heading2"/>
        <w:spacing w:before="120" w:after="80"/>
        <w:rPr>
          <w:rFonts w:ascii="Times New Roman" w:hAnsi="Times New Roman" w:cs="Times New Roman"/>
          <w:i w:val="0"/>
          <w:iCs/>
        </w:rPr>
      </w:pPr>
      <w:r w:rsidRPr="00A50AEA">
        <w:rPr>
          <w:rFonts w:ascii="Times New Roman" w:hAnsi="Times New Roman" w:cs="Times New Roman"/>
          <w:i w:val="0"/>
          <w:iCs/>
        </w:rPr>
        <w:t>4.3 Cluster Analysis and Hedging</w:t>
      </w:r>
    </w:p>
    <w:p w14:paraId="5E49A446" w14:textId="3682EDB9" w:rsidR="00FA7AE5" w:rsidRPr="007130E7" w:rsidRDefault="00FA7AE5" w:rsidP="00FA7AE5">
      <w:pPr>
        <w:rPr>
          <w:rFonts w:cs="Times New Roman"/>
          <w:i w:val="0"/>
          <w:iCs/>
          <w:sz w:val="20"/>
          <w:szCs w:val="24"/>
        </w:rPr>
      </w:pPr>
      <w:r w:rsidRPr="007130E7">
        <w:rPr>
          <w:rFonts w:cs="Times New Roman"/>
          <w:i w:val="0"/>
          <w:iCs/>
          <w:sz w:val="20"/>
          <w:szCs w:val="24"/>
        </w:rPr>
        <w:t>PCA tells us about common factors, but investors still would like to know how to hedge:</w:t>
      </w:r>
      <w:r w:rsidRPr="007130E7">
        <w:rPr>
          <w:rFonts w:cs="Times New Roman"/>
          <w:i w:val="0"/>
          <w:iCs/>
          <w:sz w:val="20"/>
          <w:szCs w:val="24"/>
        </w:rPr>
        <w:t xml:space="preserve"> </w:t>
      </w:r>
      <w:r w:rsidRPr="007130E7">
        <w:rPr>
          <w:rFonts w:cs="Times New Roman"/>
          <w:i w:val="0"/>
          <w:iCs/>
          <w:sz w:val="20"/>
          <w:szCs w:val="24"/>
        </w:rPr>
        <w:t>With one set of stocks under pressure, what other set is apt to act differently?</w:t>
      </w:r>
      <w:r w:rsidRPr="007130E7">
        <w:rPr>
          <w:rFonts w:cs="Times New Roman"/>
          <w:i w:val="0"/>
          <w:iCs/>
          <w:sz w:val="20"/>
          <w:szCs w:val="24"/>
        </w:rPr>
        <w:t xml:space="preserve"> </w:t>
      </w:r>
      <w:r w:rsidRPr="007130E7">
        <w:rPr>
          <w:rFonts w:cs="Times New Roman"/>
          <w:i w:val="0"/>
          <w:iCs/>
          <w:sz w:val="20"/>
          <w:szCs w:val="24"/>
        </w:rPr>
        <w:t>To examine this, we take </w:t>
      </w:r>
      <w:r w:rsidR="00720AEB">
        <w:rPr>
          <w:rFonts w:cs="Times New Roman"/>
          <w:i w:val="0"/>
          <w:iCs/>
          <w:sz w:val="20"/>
          <w:szCs w:val="24"/>
        </w:rPr>
        <w:t>K-means clustering</w:t>
      </w:r>
      <w:r w:rsidRPr="007130E7">
        <w:rPr>
          <w:rFonts w:cs="Times New Roman"/>
          <w:i w:val="0"/>
          <w:iCs/>
          <w:sz w:val="20"/>
          <w:szCs w:val="24"/>
        </w:rPr>
        <w:t xml:space="preserve"> and determine the correlation among clusters. This is illustrated in a heatmap-like manner in Figure 4:</w:t>
      </w:r>
    </w:p>
    <w:p w14:paraId="2D3612A9" w14:textId="3A0E3290" w:rsidR="00FA7AE5" w:rsidRPr="007130E7" w:rsidRDefault="00FA7AE5" w:rsidP="00FA7AE5">
      <w:pPr>
        <w:pStyle w:val="ListParagraph"/>
        <w:numPr>
          <w:ilvl w:val="0"/>
          <w:numId w:val="16"/>
        </w:numPr>
        <w:rPr>
          <w:rFonts w:cs="Times New Roman"/>
          <w:i w:val="0"/>
          <w:iCs/>
          <w:sz w:val="20"/>
          <w:szCs w:val="24"/>
        </w:rPr>
      </w:pPr>
      <w:r w:rsidRPr="007130E7">
        <w:rPr>
          <w:rFonts w:cs="Times New Roman"/>
          <w:i w:val="0"/>
          <w:iCs/>
          <w:sz w:val="20"/>
          <w:szCs w:val="24"/>
        </w:rPr>
        <w:t>The red/orange regions: the high correlation (clusters move together).</w:t>
      </w:r>
    </w:p>
    <w:p w14:paraId="7860CCFF" w14:textId="47B8A171" w:rsidR="00FA7AE5" w:rsidRPr="007130E7" w:rsidRDefault="00FA7AE5" w:rsidP="00FA7AE5">
      <w:pPr>
        <w:pStyle w:val="ListParagraph"/>
        <w:numPr>
          <w:ilvl w:val="0"/>
          <w:numId w:val="16"/>
        </w:numPr>
        <w:rPr>
          <w:rFonts w:cs="Times New Roman"/>
          <w:i w:val="0"/>
          <w:iCs/>
          <w:sz w:val="20"/>
          <w:szCs w:val="24"/>
        </w:rPr>
      </w:pPr>
      <w:r w:rsidRPr="007130E7">
        <w:rPr>
          <w:rFonts w:cs="Times New Roman"/>
          <w:i w:val="0"/>
          <w:iCs/>
          <w:sz w:val="20"/>
          <w:szCs w:val="24"/>
        </w:rPr>
        <w:t>Blue means lower or negative correlation (cluster moves in a different direction).</w:t>
      </w:r>
    </w:p>
    <w:p w14:paraId="438209A2" w14:textId="11165807" w:rsidR="00FA7AE5" w:rsidRPr="007130E7" w:rsidRDefault="00FA7AE5" w:rsidP="00FA7AE5">
      <w:pPr>
        <w:rPr>
          <w:rFonts w:cs="Times New Roman"/>
          <w:i w:val="0"/>
          <w:iCs/>
          <w:sz w:val="20"/>
          <w:szCs w:val="24"/>
        </w:rPr>
      </w:pPr>
      <w:r w:rsidRPr="007130E7">
        <w:rPr>
          <w:rFonts w:cs="Times New Roman"/>
          <w:i w:val="0"/>
          <w:iCs/>
          <w:sz w:val="20"/>
          <w:szCs w:val="24"/>
        </w:rPr>
        <w:t>One significant pattern emerges from the cluster itself: that is, between the Energy cluster and the Technology cluster. In our sample:</w:t>
      </w:r>
    </w:p>
    <w:p w14:paraId="33F3DF88" w14:textId="213BAE35" w:rsidR="00FA7AE5" w:rsidRPr="007130E7" w:rsidRDefault="00FA7AE5" w:rsidP="00FA7AE5">
      <w:pPr>
        <w:pStyle w:val="ListParagraph"/>
        <w:numPr>
          <w:ilvl w:val="0"/>
          <w:numId w:val="17"/>
        </w:numPr>
        <w:rPr>
          <w:rFonts w:cs="Times New Roman"/>
          <w:i w:val="0"/>
          <w:iCs/>
          <w:sz w:val="20"/>
          <w:szCs w:val="24"/>
        </w:rPr>
      </w:pPr>
      <w:r w:rsidRPr="007130E7">
        <w:rPr>
          <w:rFonts w:cs="Times New Roman"/>
          <w:i w:val="0"/>
          <w:iCs/>
          <w:sz w:val="20"/>
          <w:szCs w:val="24"/>
        </w:rPr>
        <w:lastRenderedPageBreak/>
        <w:t>These two clusters together constitute a "low-correlation island" in the heatmap (shown by blue areas).</w:t>
      </w:r>
    </w:p>
    <w:p w14:paraId="1CE23EBB" w14:textId="19F8CFC1" w:rsidR="00FA7AE5" w:rsidRPr="007130E7" w:rsidRDefault="007130E7" w:rsidP="00FA7AE5">
      <w:pPr>
        <w:pStyle w:val="ListParagraph"/>
        <w:numPr>
          <w:ilvl w:val="0"/>
          <w:numId w:val="17"/>
        </w:numPr>
        <w:rPr>
          <w:rFonts w:cs="Times New Roman"/>
          <w:i w:val="0"/>
          <w:iCs/>
          <w:sz w:val="20"/>
          <w:szCs w:val="24"/>
        </w:rPr>
      </w:pPr>
      <w:r w:rsidRPr="007130E7">
        <w:rPr>
          <w:rFonts w:cs="Times New Roman"/>
          <w:noProof/>
          <w:sz w:val="20"/>
          <w:szCs w:val="24"/>
        </w:rPr>
        <w:drawing>
          <wp:anchor distT="0" distB="0" distL="114300" distR="114300" simplePos="0" relativeHeight="251658240" behindDoc="1" locked="0" layoutInCell="1" allowOverlap="1" wp14:anchorId="6C415BAE" wp14:editId="3FB6EDB1">
            <wp:simplePos x="0" y="0"/>
            <wp:positionH relativeFrom="column">
              <wp:posOffset>4697027</wp:posOffset>
            </wp:positionH>
            <wp:positionV relativeFrom="paragraph">
              <wp:posOffset>288290</wp:posOffset>
            </wp:positionV>
            <wp:extent cx="2024743" cy="1619794"/>
            <wp:effectExtent l="0" t="0" r="0" b="6350"/>
            <wp:wrapTight wrapText="bothSides">
              <wp:wrapPolygon edited="0">
                <wp:start x="0" y="0"/>
                <wp:lineTo x="0" y="21515"/>
                <wp:lineTo x="21410" y="21515"/>
                <wp:lineTo x="2141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orrelation_clean.png"/>
                    <pic:cNvPicPr/>
                  </pic:nvPicPr>
                  <pic:blipFill>
                    <a:blip r:embed="rId8"/>
                    <a:stretch>
                      <a:fillRect/>
                    </a:stretch>
                  </pic:blipFill>
                  <pic:spPr>
                    <a:xfrm>
                      <a:off x="0" y="0"/>
                      <a:ext cx="2024743" cy="1619794"/>
                    </a:xfrm>
                    <a:prstGeom prst="rect">
                      <a:avLst/>
                    </a:prstGeom>
                  </pic:spPr>
                </pic:pic>
              </a:graphicData>
            </a:graphic>
            <wp14:sizeRelH relativeFrom="page">
              <wp14:pctWidth>0</wp14:pctWidth>
            </wp14:sizeRelH>
            <wp14:sizeRelV relativeFrom="page">
              <wp14:pctHeight>0</wp14:pctHeight>
            </wp14:sizeRelV>
          </wp:anchor>
        </w:drawing>
      </w:r>
      <w:r w:rsidR="00FA7AE5" w:rsidRPr="007130E7">
        <w:rPr>
          <w:rFonts w:cs="Times New Roman"/>
          <w:i w:val="0"/>
          <w:iCs/>
          <w:sz w:val="20"/>
          <w:szCs w:val="24"/>
        </w:rPr>
        <w:t>In the 2022 period, as we observe inflation and interest rates rising, we note that energy stocks went up (due to higher commodities' prices); technology ones often were down (struck by a higher discount rate and weak growth).</w:t>
      </w:r>
    </w:p>
    <w:p w14:paraId="00837A3F" w14:textId="110090C7" w:rsidR="00FA7AE5" w:rsidRPr="007130E7" w:rsidRDefault="00FA7AE5" w:rsidP="00FA7AE5">
      <w:pPr>
        <w:rPr>
          <w:rFonts w:cs="Times New Roman"/>
          <w:i w:val="0"/>
          <w:iCs/>
          <w:sz w:val="20"/>
          <w:szCs w:val="24"/>
        </w:rPr>
      </w:pPr>
      <w:r w:rsidRPr="007130E7">
        <w:rPr>
          <w:rFonts w:cs="Times New Roman"/>
          <w:i w:val="0"/>
          <w:iCs/>
          <w:sz w:val="20"/>
          <w:szCs w:val="24"/>
        </w:rPr>
        <w:t>This is precisely the type of activity which sector-based hedging strategies in [8] seek to take advantage of. Here, the key point is that we did not begin from sector labels. Instead, the clusters were generated simply based on statistical co-movements, and then what we have seen is that 'this cluster works as tech', 'that cluster works as energy', etc.</w:t>
      </w:r>
    </w:p>
    <w:p w14:paraId="27B48544" w14:textId="67C97D55" w:rsidR="00413509" w:rsidRPr="007130E7" w:rsidRDefault="00FA7AE5" w:rsidP="007130E7">
      <w:pPr>
        <w:rPr>
          <w:rFonts w:cs="Times New Roman"/>
          <w:i w:val="0"/>
          <w:iCs/>
          <w:sz w:val="20"/>
          <w:szCs w:val="24"/>
        </w:rPr>
      </w:pPr>
      <w:r w:rsidRPr="007130E7">
        <w:rPr>
          <w:rFonts w:cs="Times New Roman"/>
          <w:i w:val="0"/>
          <w:iCs/>
          <w:sz w:val="20"/>
          <w:szCs w:val="24"/>
        </w:rPr>
        <w:t>This is evidence that the unsupervised learning can automatically discover hedging opportunities that simple "buy many sectors" diversification might otherwise miss, especially in sectors which are not equally impactful with respect to some macro shocks.</w:t>
      </w:r>
    </w:p>
    <w:p w14:paraId="536944D7" w14:textId="593FB202" w:rsidR="00413509" w:rsidRPr="007130E7" w:rsidRDefault="007130E7" w:rsidP="00FA7AE5">
      <w:pPr>
        <w:pStyle w:val="Caption"/>
        <w:jc w:val="center"/>
        <w:rPr>
          <w:rFonts w:cs="Times New Roman"/>
          <w:sz w:val="20"/>
          <w:szCs w:val="20"/>
        </w:rPr>
      </w:pPr>
      <w:r>
        <w:rPr>
          <w:rFonts w:cs="Times New Roman"/>
          <w:sz w:val="20"/>
          <w:szCs w:val="20"/>
        </w:rPr>
        <w:t xml:space="preserve">                                                                                                               </w:t>
      </w:r>
      <w:r>
        <w:rPr>
          <w:rFonts w:cs="Times New Roman"/>
          <w:sz w:val="20"/>
          <w:szCs w:val="20"/>
        </w:rPr>
        <w:t xml:space="preserve">                                  </w:t>
      </w:r>
      <w:r w:rsidR="00000000" w:rsidRPr="007130E7">
        <w:rPr>
          <w:rFonts w:cs="Times New Roman"/>
          <w:sz w:val="20"/>
          <w:szCs w:val="20"/>
        </w:rPr>
        <w:t>Figure 4: Cluster Correlation Matrix.</w:t>
      </w:r>
    </w:p>
    <w:p w14:paraId="771506F6" w14:textId="1F19147D" w:rsidR="00FA7AE5" w:rsidRPr="00A50AEA" w:rsidRDefault="00000000" w:rsidP="00FA7AE5">
      <w:pPr>
        <w:pStyle w:val="Heading2"/>
        <w:spacing w:before="120" w:after="80"/>
        <w:rPr>
          <w:rFonts w:ascii="Times New Roman" w:hAnsi="Times New Roman" w:cs="Times New Roman"/>
          <w:i w:val="0"/>
          <w:iCs/>
        </w:rPr>
      </w:pPr>
      <w:r w:rsidRPr="00A50AEA">
        <w:rPr>
          <w:rFonts w:ascii="Times New Roman" w:hAnsi="Times New Roman" w:cs="Times New Roman"/>
          <w:i w:val="0"/>
          <w:iCs/>
        </w:rPr>
        <w:t>4.4 Dynamic Risk: The Anatomy of the 2020 Crash</w:t>
      </w:r>
    </w:p>
    <w:p w14:paraId="2A5BEC9B" w14:textId="570D9A29" w:rsidR="00FA7AE5" w:rsidRPr="007130E7" w:rsidRDefault="00FA7AE5" w:rsidP="00FA7AE5">
      <w:pPr>
        <w:rPr>
          <w:rFonts w:cs="Times New Roman"/>
          <w:i w:val="0"/>
          <w:iCs/>
          <w:sz w:val="20"/>
          <w:szCs w:val="24"/>
        </w:rPr>
      </w:pPr>
      <w:r w:rsidRPr="007130E7">
        <w:rPr>
          <w:rFonts w:cs="Times New Roman"/>
          <w:i w:val="0"/>
          <w:iCs/>
          <w:sz w:val="20"/>
          <w:szCs w:val="24"/>
        </w:rPr>
        <w:t>A static PCA effectively reduces the whole 2019–2024 period to one number for PC1. But markets don't remain in any one place. We study the evolution of systemic risk over time by running rolling PCA and plotting the variance explained by PC1 against time (Figure 5).</w:t>
      </w:r>
      <w:r w:rsidR="007130E7">
        <w:rPr>
          <w:rFonts w:cs="Times New Roman"/>
          <w:i w:val="0"/>
          <w:iCs/>
          <w:sz w:val="20"/>
          <w:szCs w:val="24"/>
        </w:rPr>
        <w:t xml:space="preserve"> </w:t>
      </w:r>
      <w:r w:rsidRPr="007130E7">
        <w:rPr>
          <w:rFonts w:cs="Times New Roman"/>
          <w:i w:val="0"/>
          <w:iCs/>
          <w:sz w:val="20"/>
          <w:szCs w:val="24"/>
        </w:rPr>
        <w:t>The time series exhibits three important features:</w:t>
      </w:r>
    </w:p>
    <w:p w14:paraId="126B78F3" w14:textId="77777777" w:rsidR="00FA7AE5" w:rsidRPr="007130E7" w:rsidRDefault="00FA7AE5" w:rsidP="00FA7AE5">
      <w:pPr>
        <w:pStyle w:val="ListParagraph"/>
        <w:numPr>
          <w:ilvl w:val="0"/>
          <w:numId w:val="18"/>
        </w:numPr>
        <w:rPr>
          <w:rFonts w:cs="Times New Roman"/>
          <w:i w:val="0"/>
          <w:iCs/>
          <w:sz w:val="20"/>
          <w:szCs w:val="24"/>
        </w:rPr>
      </w:pPr>
      <w:r w:rsidRPr="007130E7">
        <w:rPr>
          <w:rFonts w:cs="Times New Roman"/>
          <w:i w:val="0"/>
          <w:iCs/>
          <w:sz w:val="20"/>
          <w:szCs w:val="24"/>
        </w:rPr>
        <w:t>Baseline level:</w:t>
      </w:r>
    </w:p>
    <w:p w14:paraId="0774659A" w14:textId="7E8B1EC9" w:rsidR="00FA7AE5" w:rsidRPr="007130E7" w:rsidRDefault="00FA7AE5" w:rsidP="00FA7AE5">
      <w:pPr>
        <w:pStyle w:val="ListParagraph"/>
        <w:rPr>
          <w:rFonts w:cs="Times New Roman"/>
          <w:i w:val="0"/>
          <w:iCs/>
          <w:sz w:val="20"/>
          <w:szCs w:val="24"/>
        </w:rPr>
      </w:pPr>
      <w:r w:rsidRPr="007130E7">
        <w:rPr>
          <w:rFonts w:cs="Times New Roman"/>
          <w:i w:val="0"/>
          <w:iCs/>
          <w:sz w:val="20"/>
          <w:szCs w:val="24"/>
        </w:rPr>
        <w:t>PC1 accounts for approximately 30–40% of the variance for most of the sample. That</w:t>
      </w:r>
      <w:r w:rsidR="00720AEB">
        <w:rPr>
          <w:rFonts w:cs="Times New Roman"/>
          <w:i w:val="0"/>
          <w:iCs/>
          <w:sz w:val="20"/>
          <w:szCs w:val="24"/>
        </w:rPr>
        <w:t xml:space="preserve"> is </w:t>
      </w:r>
      <w:r w:rsidRPr="007130E7">
        <w:rPr>
          <w:rFonts w:cs="Times New Roman"/>
          <w:i w:val="0"/>
          <w:iCs/>
          <w:sz w:val="20"/>
          <w:szCs w:val="24"/>
        </w:rPr>
        <w:t xml:space="preserve">already high, but </w:t>
      </w:r>
      <w:proofErr w:type="gramStart"/>
      <w:r w:rsidRPr="007130E7">
        <w:rPr>
          <w:rFonts w:cs="Times New Roman"/>
          <w:i w:val="0"/>
          <w:iCs/>
          <w:sz w:val="20"/>
          <w:szCs w:val="24"/>
        </w:rPr>
        <w:t>fairly flat</w:t>
      </w:r>
      <w:proofErr w:type="gramEnd"/>
      <w:r w:rsidRPr="007130E7">
        <w:rPr>
          <w:rFonts w:cs="Times New Roman"/>
          <w:i w:val="0"/>
          <w:iCs/>
          <w:sz w:val="20"/>
          <w:szCs w:val="24"/>
        </w:rPr>
        <w:t>.</w:t>
      </w:r>
    </w:p>
    <w:p w14:paraId="38825C85" w14:textId="77777777" w:rsidR="00FA7AE5" w:rsidRPr="007130E7" w:rsidRDefault="00FA7AE5" w:rsidP="00FA7AE5">
      <w:pPr>
        <w:pStyle w:val="ListParagraph"/>
        <w:numPr>
          <w:ilvl w:val="0"/>
          <w:numId w:val="18"/>
        </w:numPr>
        <w:rPr>
          <w:rFonts w:cs="Times New Roman"/>
          <w:i w:val="0"/>
          <w:iCs/>
          <w:sz w:val="20"/>
          <w:szCs w:val="24"/>
        </w:rPr>
      </w:pPr>
      <w:r w:rsidRPr="007130E7">
        <w:rPr>
          <w:rFonts w:cs="Times New Roman"/>
          <w:i w:val="0"/>
          <w:iCs/>
          <w:sz w:val="20"/>
          <w:szCs w:val="24"/>
        </w:rPr>
        <w:t>Crisis spike in March 2020:</w:t>
      </w:r>
    </w:p>
    <w:p w14:paraId="6808C788" w14:textId="59E6B8E3" w:rsidR="00FA7AE5" w:rsidRPr="007130E7" w:rsidRDefault="00FA7AE5" w:rsidP="00FA7AE5">
      <w:pPr>
        <w:pStyle w:val="ListParagraph"/>
        <w:rPr>
          <w:rFonts w:cs="Times New Roman"/>
          <w:i w:val="0"/>
          <w:iCs/>
          <w:sz w:val="20"/>
          <w:szCs w:val="24"/>
        </w:rPr>
      </w:pPr>
      <w:r w:rsidRPr="007130E7">
        <w:rPr>
          <w:rFonts w:cs="Times New Roman"/>
          <w:i w:val="0"/>
          <w:iCs/>
          <w:sz w:val="20"/>
          <w:szCs w:val="24"/>
        </w:rPr>
        <w:t xml:space="preserve">In the COVID-19 crash, the proportion of variance explained by PC1 rises to almost 60%. That is to say that in that period, a single, resolutely un-novel common factor dominates market movements even more profoundly than it usually does. </w:t>
      </w:r>
      <w:r w:rsidR="003C01A1" w:rsidRPr="003C01A1">
        <w:rPr>
          <w:rFonts w:cs="Times New Roman"/>
          <w:i w:val="0"/>
          <w:iCs/>
          <w:sz w:val="20"/>
          <w:szCs w:val="24"/>
        </w:rPr>
        <w:t>Put differently, virtually all stocks were moving in the same direction, irrespective of their individual fundamentals.</w:t>
      </w:r>
    </w:p>
    <w:p w14:paraId="49D2EB22" w14:textId="77777777" w:rsidR="00FA7AE5" w:rsidRPr="007130E7" w:rsidRDefault="00FA7AE5" w:rsidP="00FA7AE5">
      <w:pPr>
        <w:pStyle w:val="ListParagraph"/>
        <w:numPr>
          <w:ilvl w:val="0"/>
          <w:numId w:val="18"/>
        </w:numPr>
        <w:rPr>
          <w:rFonts w:cs="Times New Roman"/>
          <w:i w:val="0"/>
          <w:iCs/>
          <w:sz w:val="20"/>
          <w:szCs w:val="24"/>
        </w:rPr>
      </w:pPr>
      <w:r w:rsidRPr="007130E7">
        <w:rPr>
          <w:rFonts w:cs="Times New Roman"/>
          <w:i w:val="0"/>
          <w:iCs/>
          <w:sz w:val="20"/>
          <w:szCs w:val="24"/>
        </w:rPr>
        <w:t>Post-crash adjustment:</w:t>
      </w:r>
    </w:p>
    <w:p w14:paraId="46627693" w14:textId="7389137E" w:rsidR="00FA7AE5" w:rsidRPr="007130E7" w:rsidRDefault="007130E7" w:rsidP="00FA7AE5">
      <w:pPr>
        <w:pStyle w:val="ListParagraph"/>
        <w:rPr>
          <w:rFonts w:cs="Times New Roman"/>
          <w:i w:val="0"/>
          <w:iCs/>
          <w:sz w:val="20"/>
          <w:szCs w:val="24"/>
        </w:rPr>
      </w:pPr>
      <w:r w:rsidRPr="007130E7">
        <w:rPr>
          <w:rFonts w:cs="Times New Roman"/>
          <w:noProof/>
          <w:sz w:val="20"/>
          <w:szCs w:val="24"/>
        </w:rPr>
        <w:drawing>
          <wp:anchor distT="0" distB="0" distL="114300" distR="114300" simplePos="0" relativeHeight="251659264" behindDoc="1" locked="0" layoutInCell="1" allowOverlap="1" wp14:anchorId="69B14D7A" wp14:editId="72B4DD2D">
            <wp:simplePos x="0" y="0"/>
            <wp:positionH relativeFrom="column">
              <wp:posOffset>4198221</wp:posOffset>
            </wp:positionH>
            <wp:positionV relativeFrom="paragraph">
              <wp:posOffset>403860</wp:posOffset>
            </wp:positionV>
            <wp:extent cx="2601686" cy="1300843"/>
            <wp:effectExtent l="0" t="0" r="1905" b="0"/>
            <wp:wrapTight wrapText="bothSides">
              <wp:wrapPolygon edited="0">
                <wp:start x="0" y="0"/>
                <wp:lineTo x="0" y="21305"/>
                <wp:lineTo x="21510" y="21305"/>
                <wp:lineTo x="2151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pca_risk.png"/>
                    <pic:cNvPicPr/>
                  </pic:nvPicPr>
                  <pic:blipFill>
                    <a:blip r:embed="rId9"/>
                    <a:stretch>
                      <a:fillRect/>
                    </a:stretch>
                  </pic:blipFill>
                  <pic:spPr>
                    <a:xfrm>
                      <a:off x="0" y="0"/>
                      <a:ext cx="2601686" cy="1300843"/>
                    </a:xfrm>
                    <a:prstGeom prst="rect">
                      <a:avLst/>
                    </a:prstGeom>
                  </pic:spPr>
                </pic:pic>
              </a:graphicData>
            </a:graphic>
            <wp14:sizeRelH relativeFrom="page">
              <wp14:pctWidth>0</wp14:pctWidth>
            </wp14:sizeRelH>
            <wp14:sizeRelV relativeFrom="page">
              <wp14:pctHeight>0</wp14:pctHeight>
            </wp14:sizeRelV>
          </wp:anchor>
        </w:drawing>
      </w:r>
      <w:r w:rsidR="00FA7AE5" w:rsidRPr="007130E7">
        <w:rPr>
          <w:rFonts w:cs="Times New Roman"/>
          <w:i w:val="0"/>
          <w:iCs/>
          <w:sz w:val="20"/>
          <w:szCs w:val="24"/>
        </w:rPr>
        <w:t>Post-crisis, the explained variance slowly rebounds towards its baseline range, but with substantial movements around subsequent macro events.</w:t>
      </w:r>
    </w:p>
    <w:p w14:paraId="20FC5190" w14:textId="65DD1F41" w:rsidR="00FA7AE5" w:rsidRPr="007130E7" w:rsidRDefault="003C01A1" w:rsidP="00FA7AE5">
      <w:pPr>
        <w:rPr>
          <w:rFonts w:cs="Times New Roman"/>
          <w:i w:val="0"/>
          <w:iCs/>
          <w:sz w:val="20"/>
          <w:szCs w:val="24"/>
        </w:rPr>
      </w:pPr>
      <w:r w:rsidRPr="003C01A1">
        <w:rPr>
          <w:rFonts w:cs="Times New Roman"/>
          <w:i w:val="0"/>
          <w:iCs/>
          <w:sz w:val="20"/>
          <w:szCs w:val="24"/>
        </w:rPr>
        <w:t>This sudden shift provides a clear example of “correlation breakdown</w:t>
      </w:r>
      <w:r w:rsidR="00FA7AE5" w:rsidRPr="007130E7">
        <w:rPr>
          <w:rFonts w:cs="Times New Roman"/>
          <w:i w:val="0"/>
          <w:iCs/>
          <w:sz w:val="20"/>
          <w:szCs w:val="24"/>
        </w:rPr>
        <w:t>" (to borrow the words of the literature), or more precisely still, "correlation converging": that is, in a liquidity crisis, correlations between assets simply tend to converge to 1.0. But the diversification that seemed to work well in placid times becomes much weaker, just when investors are counting on it.</w:t>
      </w:r>
    </w:p>
    <w:p w14:paraId="56FEAFE0" w14:textId="1F960095" w:rsidR="00413509" w:rsidRPr="007130E7" w:rsidRDefault="00FA7AE5" w:rsidP="007130E7">
      <w:pPr>
        <w:rPr>
          <w:rFonts w:cs="Times New Roman"/>
          <w:i w:val="0"/>
          <w:iCs/>
          <w:sz w:val="20"/>
          <w:szCs w:val="24"/>
        </w:rPr>
      </w:pPr>
      <w:r w:rsidRPr="007130E7">
        <w:rPr>
          <w:rFonts w:cs="Times New Roman"/>
          <w:i w:val="0"/>
          <w:iCs/>
          <w:sz w:val="20"/>
          <w:szCs w:val="24"/>
        </w:rPr>
        <w:t>This observation confirms what was said in [5]:</w:t>
      </w:r>
      <w:r w:rsidRPr="007130E7">
        <w:rPr>
          <w:rFonts w:cs="Times New Roman"/>
          <w:i w:val="0"/>
          <w:iCs/>
          <w:sz w:val="20"/>
          <w:szCs w:val="24"/>
        </w:rPr>
        <w:t xml:space="preserve"> </w:t>
      </w:r>
      <w:r w:rsidRPr="007130E7">
        <w:rPr>
          <w:rFonts w:cs="Times New Roman"/>
          <w:i w:val="0"/>
          <w:iCs/>
          <w:sz w:val="20"/>
          <w:szCs w:val="24"/>
        </w:rPr>
        <w:t xml:space="preserve">Risk models using constant correlations will seriously underestimate portfolio </w:t>
      </w:r>
      <w:proofErr w:type="spellStart"/>
      <w:r w:rsidRPr="007130E7">
        <w:rPr>
          <w:rFonts w:cs="Times New Roman"/>
          <w:i w:val="0"/>
          <w:iCs/>
          <w:sz w:val="20"/>
          <w:szCs w:val="24"/>
        </w:rPr>
        <w:t>VaR</w:t>
      </w:r>
      <w:proofErr w:type="spellEnd"/>
      <w:r w:rsidRPr="007130E7">
        <w:rPr>
          <w:rFonts w:cs="Times New Roman"/>
          <w:i w:val="0"/>
          <w:iCs/>
          <w:sz w:val="20"/>
          <w:szCs w:val="24"/>
        </w:rPr>
        <w:t xml:space="preserve"> in such crisis times.</w:t>
      </w:r>
    </w:p>
    <w:p w14:paraId="03AE0F60" w14:textId="60CCC740" w:rsidR="00413509" w:rsidRPr="007130E7" w:rsidRDefault="007130E7" w:rsidP="00FA7AE5">
      <w:pPr>
        <w:pStyle w:val="Caption"/>
        <w:jc w:val="center"/>
        <w:rPr>
          <w:rFonts w:cs="Times New Roman"/>
          <w:sz w:val="20"/>
          <w:szCs w:val="20"/>
        </w:rPr>
      </w:pPr>
      <w:r>
        <w:rPr>
          <w:rFonts w:cs="Times New Roman"/>
          <w:sz w:val="20"/>
          <w:szCs w:val="20"/>
        </w:rPr>
        <w:t xml:space="preserve">                                                                                                                    </w:t>
      </w:r>
      <w:r w:rsidR="00000000" w:rsidRPr="007130E7">
        <w:rPr>
          <w:rFonts w:cs="Times New Roman"/>
          <w:sz w:val="20"/>
          <w:szCs w:val="20"/>
        </w:rPr>
        <w:t>Figure 5: Rolling PCA tracking Systemic Risk over time.</w:t>
      </w:r>
    </w:p>
    <w:p w14:paraId="3565FDB6" w14:textId="1AEBBF1C" w:rsidR="00A50AEA" w:rsidRPr="00EB0D2F" w:rsidRDefault="00000000" w:rsidP="00A50AEA">
      <w:pPr>
        <w:pStyle w:val="Heading2"/>
        <w:spacing w:before="120" w:after="80"/>
        <w:rPr>
          <w:rFonts w:ascii="Times New Roman" w:hAnsi="Times New Roman" w:cs="Times New Roman"/>
          <w:i w:val="0"/>
          <w:iCs/>
        </w:rPr>
      </w:pPr>
      <w:r w:rsidRPr="00EB0D2F">
        <w:rPr>
          <w:rFonts w:ascii="Times New Roman" w:hAnsi="Times New Roman" w:cs="Times New Roman"/>
          <w:i w:val="0"/>
          <w:iCs/>
        </w:rPr>
        <w:t xml:space="preserve">4.5 Portfolio </w:t>
      </w:r>
      <w:proofErr w:type="spellStart"/>
      <w:r w:rsidRPr="00EB0D2F">
        <w:rPr>
          <w:rFonts w:ascii="Times New Roman" w:hAnsi="Times New Roman" w:cs="Times New Roman"/>
          <w:i w:val="0"/>
          <w:iCs/>
        </w:rPr>
        <w:t>Optimi</w:t>
      </w:r>
      <w:r w:rsidR="00A50AEA" w:rsidRPr="00EB0D2F">
        <w:rPr>
          <w:rFonts w:ascii="Times New Roman" w:hAnsi="Times New Roman" w:cs="Times New Roman"/>
          <w:i w:val="0"/>
          <w:iCs/>
        </w:rPr>
        <w:t>s</w:t>
      </w:r>
      <w:r w:rsidRPr="00EB0D2F">
        <w:rPr>
          <w:rFonts w:ascii="Times New Roman" w:hAnsi="Times New Roman" w:cs="Times New Roman"/>
          <w:i w:val="0"/>
          <w:iCs/>
        </w:rPr>
        <w:t>ation</w:t>
      </w:r>
      <w:proofErr w:type="spellEnd"/>
    </w:p>
    <w:p w14:paraId="4C4E16E2" w14:textId="5E6B92F8" w:rsidR="00A50AEA" w:rsidRPr="00EB0D2F" w:rsidRDefault="003C01A1" w:rsidP="00A50AEA">
      <w:pPr>
        <w:rPr>
          <w:rFonts w:cs="Times New Roman"/>
          <w:i w:val="0"/>
          <w:iCs/>
          <w:sz w:val="20"/>
          <w:szCs w:val="24"/>
        </w:rPr>
      </w:pPr>
      <w:r w:rsidRPr="003C01A1">
        <w:rPr>
          <w:rFonts w:cs="Times New Roman"/>
          <w:i w:val="0"/>
          <w:iCs/>
          <w:sz w:val="20"/>
          <w:szCs w:val="24"/>
        </w:rPr>
        <w:t>Finally, we address a pragmatic question: to what extent can these statistical insights assist in constructing a better portfolio?</w:t>
      </w:r>
    </w:p>
    <w:p w14:paraId="64ACC70A" w14:textId="77777777" w:rsidR="00A50AEA" w:rsidRPr="00EB0D2F" w:rsidRDefault="00A50AEA" w:rsidP="00A50AEA">
      <w:pPr>
        <w:pStyle w:val="ListParagraph"/>
        <w:numPr>
          <w:ilvl w:val="0"/>
          <w:numId w:val="20"/>
        </w:numPr>
        <w:rPr>
          <w:rFonts w:cs="Times New Roman"/>
          <w:i w:val="0"/>
          <w:iCs/>
          <w:sz w:val="20"/>
          <w:szCs w:val="24"/>
        </w:rPr>
      </w:pPr>
      <w:r w:rsidRPr="00EB0D2F">
        <w:rPr>
          <w:rFonts w:cs="Times New Roman"/>
          <w:i w:val="0"/>
          <w:iCs/>
          <w:sz w:val="20"/>
          <w:szCs w:val="24"/>
        </w:rPr>
        <w:t>We examine this by creating an efficient frontier using our clusters. The procedure is as follows:</w:t>
      </w:r>
    </w:p>
    <w:p w14:paraId="26352F93" w14:textId="47A1823E" w:rsidR="00A50AEA" w:rsidRPr="00EB0D2F" w:rsidRDefault="00A50AEA" w:rsidP="00A50AEA">
      <w:pPr>
        <w:pStyle w:val="ListParagraph"/>
        <w:numPr>
          <w:ilvl w:val="0"/>
          <w:numId w:val="20"/>
        </w:numPr>
        <w:rPr>
          <w:rFonts w:cs="Times New Roman"/>
          <w:i w:val="0"/>
          <w:iCs/>
          <w:sz w:val="20"/>
          <w:szCs w:val="24"/>
        </w:rPr>
      </w:pPr>
      <w:r w:rsidRPr="00EB0D2F">
        <w:rPr>
          <w:rFonts w:cs="Times New Roman"/>
          <w:i w:val="0"/>
          <w:iCs/>
          <w:sz w:val="20"/>
          <w:szCs w:val="24"/>
        </w:rPr>
        <w:t xml:space="preserve">We take one or more representative stocks from each of the 11 clusters of </w:t>
      </w:r>
      <w:r w:rsidR="00720AEB">
        <w:rPr>
          <w:rFonts w:cs="Times New Roman"/>
          <w:i w:val="0"/>
          <w:iCs/>
          <w:sz w:val="20"/>
          <w:szCs w:val="24"/>
        </w:rPr>
        <w:t>K-means clustering</w:t>
      </w:r>
      <w:r w:rsidRPr="00EB0D2F">
        <w:rPr>
          <w:rFonts w:cs="Times New Roman"/>
          <w:i w:val="0"/>
          <w:iCs/>
          <w:sz w:val="20"/>
          <w:szCs w:val="24"/>
        </w:rPr>
        <w:t>.</w:t>
      </w:r>
    </w:p>
    <w:p w14:paraId="78A83FAD" w14:textId="77777777" w:rsidR="00A50AEA" w:rsidRPr="00EB0D2F" w:rsidRDefault="00A50AEA" w:rsidP="00A50AEA">
      <w:pPr>
        <w:pStyle w:val="ListParagraph"/>
        <w:numPr>
          <w:ilvl w:val="0"/>
          <w:numId w:val="20"/>
        </w:numPr>
        <w:rPr>
          <w:rFonts w:cs="Times New Roman"/>
          <w:i w:val="0"/>
          <w:iCs/>
          <w:sz w:val="20"/>
          <w:szCs w:val="24"/>
        </w:rPr>
      </w:pPr>
      <w:r w:rsidRPr="00EB0D2F">
        <w:rPr>
          <w:rFonts w:cs="Times New Roman"/>
          <w:i w:val="0"/>
          <w:iCs/>
          <w:sz w:val="20"/>
          <w:szCs w:val="24"/>
        </w:rPr>
        <w:t>We simulate 5,000 unique portfolios with different weights allocated between these representatives.</w:t>
      </w:r>
    </w:p>
    <w:p w14:paraId="037959D0" w14:textId="77777777" w:rsidR="00B97AC6" w:rsidRDefault="00B97AC6" w:rsidP="00A50AEA">
      <w:pPr>
        <w:pStyle w:val="ListParagraph"/>
        <w:numPr>
          <w:ilvl w:val="0"/>
          <w:numId w:val="20"/>
        </w:numPr>
        <w:rPr>
          <w:rFonts w:cs="Times New Roman"/>
          <w:i w:val="0"/>
          <w:iCs/>
          <w:sz w:val="20"/>
          <w:szCs w:val="24"/>
        </w:rPr>
      </w:pPr>
      <w:r w:rsidRPr="00B97AC6">
        <w:rPr>
          <w:rFonts w:cs="Times New Roman"/>
          <w:i w:val="0"/>
          <w:iCs/>
          <w:sz w:val="20"/>
          <w:szCs w:val="24"/>
        </w:rPr>
        <w:t>For each portfolio, we also calculate its Sharpe ratio.</w:t>
      </w:r>
    </w:p>
    <w:p w14:paraId="11F09320" w14:textId="68A7ABDE" w:rsidR="00A50AEA" w:rsidRPr="00EB0D2F" w:rsidRDefault="00A50AEA" w:rsidP="00A50AEA">
      <w:pPr>
        <w:pStyle w:val="ListParagraph"/>
        <w:numPr>
          <w:ilvl w:val="0"/>
          <w:numId w:val="20"/>
        </w:numPr>
        <w:rPr>
          <w:rFonts w:cs="Times New Roman"/>
          <w:i w:val="0"/>
          <w:iCs/>
          <w:sz w:val="20"/>
          <w:szCs w:val="24"/>
        </w:rPr>
      </w:pPr>
      <w:r w:rsidRPr="00EB0D2F">
        <w:rPr>
          <w:rFonts w:cs="Times New Roman"/>
          <w:i w:val="0"/>
          <w:iCs/>
          <w:sz w:val="20"/>
          <w:szCs w:val="24"/>
        </w:rPr>
        <w:t>We represent all the portfolios on a risk–return basis (Figure 6).</w:t>
      </w:r>
    </w:p>
    <w:p w14:paraId="684E8983" w14:textId="0E42A309" w:rsidR="00A50AEA" w:rsidRPr="00EB0D2F" w:rsidRDefault="003C01A1" w:rsidP="00A50AEA">
      <w:pPr>
        <w:rPr>
          <w:rFonts w:cs="Times New Roman"/>
          <w:i w:val="0"/>
          <w:iCs/>
          <w:sz w:val="20"/>
          <w:szCs w:val="24"/>
        </w:rPr>
      </w:pPr>
      <w:r w:rsidRPr="003C01A1">
        <w:rPr>
          <w:rFonts w:cs="Times New Roman"/>
          <w:i w:val="0"/>
          <w:iCs/>
          <w:sz w:val="20"/>
          <w:szCs w:val="24"/>
        </w:rPr>
        <w:t xml:space="preserve">The grey cloud of points represents the collection of randomly generated </w:t>
      </w:r>
      <w:proofErr w:type="spellStart"/>
      <w:proofErr w:type="gramStart"/>
      <w:r w:rsidRPr="003C01A1">
        <w:rPr>
          <w:rFonts w:cs="Times New Roman"/>
          <w:i w:val="0"/>
          <w:iCs/>
          <w:sz w:val="20"/>
          <w:szCs w:val="24"/>
        </w:rPr>
        <w:t>portfolios.</w:t>
      </w:r>
      <w:r w:rsidR="00A50AEA" w:rsidRPr="00EB0D2F">
        <w:rPr>
          <w:rFonts w:cs="Times New Roman"/>
          <w:i w:val="0"/>
          <w:iCs/>
          <w:sz w:val="20"/>
          <w:szCs w:val="24"/>
        </w:rPr>
        <w:t>On</w:t>
      </w:r>
      <w:proofErr w:type="spellEnd"/>
      <w:proofErr w:type="gramEnd"/>
      <w:r w:rsidR="00A50AEA" w:rsidRPr="00EB0D2F">
        <w:rPr>
          <w:rFonts w:cs="Times New Roman"/>
          <w:i w:val="0"/>
          <w:iCs/>
          <w:sz w:val="20"/>
          <w:szCs w:val="24"/>
        </w:rPr>
        <w:t xml:space="preserve"> top of that, we highlight:</w:t>
      </w:r>
    </w:p>
    <w:p w14:paraId="63A96336" w14:textId="123D9633" w:rsidR="00A50AEA" w:rsidRPr="00EB0D2F" w:rsidRDefault="00A50AEA" w:rsidP="00A50AEA">
      <w:pPr>
        <w:pStyle w:val="ListParagraph"/>
        <w:numPr>
          <w:ilvl w:val="0"/>
          <w:numId w:val="21"/>
        </w:numPr>
        <w:rPr>
          <w:rFonts w:cs="Times New Roman"/>
          <w:i w:val="0"/>
          <w:iCs/>
          <w:sz w:val="20"/>
          <w:szCs w:val="24"/>
        </w:rPr>
      </w:pPr>
      <w:r w:rsidRPr="00EB0D2F">
        <w:rPr>
          <w:rFonts w:cs="Times New Roman"/>
          <w:i w:val="0"/>
          <w:iCs/>
          <w:sz w:val="20"/>
          <w:szCs w:val="24"/>
        </w:rPr>
        <w:t>The efficient frontier shows the various portfolios that have the highest expected return for a given level of risk.</w:t>
      </w:r>
    </w:p>
    <w:p w14:paraId="3CEB3042" w14:textId="4D00CCF5" w:rsidR="00A50AEA" w:rsidRPr="00EB0D2F" w:rsidRDefault="00A50AEA" w:rsidP="00A50AEA">
      <w:pPr>
        <w:pStyle w:val="ListParagraph"/>
        <w:numPr>
          <w:ilvl w:val="0"/>
          <w:numId w:val="21"/>
        </w:numPr>
        <w:rPr>
          <w:rFonts w:cs="Times New Roman"/>
          <w:i w:val="0"/>
          <w:iCs/>
          <w:sz w:val="20"/>
          <w:szCs w:val="24"/>
        </w:rPr>
      </w:pPr>
      <w:r w:rsidRPr="00EB0D2F">
        <w:rPr>
          <w:rFonts w:cs="Times New Roman"/>
          <w:i w:val="0"/>
          <w:iCs/>
          <w:sz w:val="20"/>
          <w:szCs w:val="24"/>
        </w:rPr>
        <w:t>One “Optimal Portfolio” (red star), defined as the highest Sharpe ratio in all the simulated portfolios.</w:t>
      </w:r>
    </w:p>
    <w:p w14:paraId="16D81C28" w14:textId="0B9BBB8E" w:rsidR="00A50AEA" w:rsidRPr="00EB0D2F" w:rsidRDefault="007130E7" w:rsidP="00A50AEA">
      <w:pPr>
        <w:rPr>
          <w:rFonts w:cs="Times New Roman"/>
          <w:i w:val="0"/>
          <w:iCs/>
          <w:sz w:val="20"/>
          <w:szCs w:val="24"/>
        </w:rPr>
      </w:pPr>
      <w:r w:rsidRPr="00EB0D2F">
        <w:rPr>
          <w:rFonts w:cs="Times New Roman"/>
          <w:i w:val="0"/>
          <w:iCs/>
          <w:noProof/>
          <w:sz w:val="20"/>
          <w:szCs w:val="24"/>
        </w:rPr>
        <w:lastRenderedPageBreak/>
        <w:drawing>
          <wp:anchor distT="0" distB="0" distL="114300" distR="114300" simplePos="0" relativeHeight="251661312" behindDoc="1" locked="0" layoutInCell="1" allowOverlap="1" wp14:anchorId="6C8202C6" wp14:editId="4C355C97">
            <wp:simplePos x="0" y="0"/>
            <wp:positionH relativeFrom="column">
              <wp:posOffset>3881120</wp:posOffset>
            </wp:positionH>
            <wp:positionV relativeFrom="paragraph">
              <wp:posOffset>167005</wp:posOffset>
            </wp:positionV>
            <wp:extent cx="2699385" cy="1619250"/>
            <wp:effectExtent l="0" t="0" r="5715" b="6350"/>
            <wp:wrapTight wrapText="bothSides">
              <wp:wrapPolygon edited="0">
                <wp:start x="0" y="0"/>
                <wp:lineTo x="0" y="21515"/>
                <wp:lineTo x="21544" y="21515"/>
                <wp:lineTo x="2154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_frontier.png"/>
                    <pic:cNvPicPr/>
                  </pic:nvPicPr>
                  <pic:blipFill>
                    <a:blip r:embed="rId10"/>
                    <a:stretch>
                      <a:fillRect/>
                    </a:stretch>
                  </pic:blipFill>
                  <pic:spPr>
                    <a:xfrm>
                      <a:off x="0" y="0"/>
                      <a:ext cx="2699385" cy="1619250"/>
                    </a:xfrm>
                    <a:prstGeom prst="rect">
                      <a:avLst/>
                    </a:prstGeom>
                  </pic:spPr>
                </pic:pic>
              </a:graphicData>
            </a:graphic>
            <wp14:sizeRelH relativeFrom="page">
              <wp14:pctWidth>0</wp14:pctWidth>
            </wp14:sizeRelH>
            <wp14:sizeRelV relativeFrom="page">
              <wp14:pctHeight>0</wp14:pctHeight>
            </wp14:sizeRelV>
          </wp:anchor>
        </w:drawing>
      </w:r>
      <w:r w:rsidR="00A50AEA" w:rsidRPr="00EB0D2F">
        <w:rPr>
          <w:rFonts w:cs="Times New Roman"/>
          <w:i w:val="0"/>
          <w:iCs/>
          <w:sz w:val="20"/>
          <w:szCs w:val="24"/>
        </w:rPr>
        <w:t xml:space="preserve">The results indicate that the best cluster-based portfolio has a Sharpe </w:t>
      </w:r>
      <w:r w:rsidR="00042BAF">
        <w:rPr>
          <w:rFonts w:cs="Times New Roman"/>
          <w:i w:val="0"/>
          <w:iCs/>
          <w:sz w:val="20"/>
          <w:szCs w:val="24"/>
        </w:rPr>
        <w:t>r</w:t>
      </w:r>
      <w:r w:rsidR="00A50AEA" w:rsidRPr="00EB0D2F">
        <w:rPr>
          <w:rFonts w:cs="Times New Roman"/>
          <w:i w:val="0"/>
          <w:iCs/>
          <w:sz w:val="20"/>
          <w:szCs w:val="24"/>
        </w:rPr>
        <w:t xml:space="preserve">atio well </w:t>
      </w:r>
      <w:proofErr w:type="gramStart"/>
      <w:r w:rsidR="00A50AEA" w:rsidRPr="00EB0D2F">
        <w:rPr>
          <w:rFonts w:cs="Times New Roman"/>
          <w:i w:val="0"/>
          <w:iCs/>
          <w:sz w:val="20"/>
          <w:szCs w:val="24"/>
        </w:rPr>
        <w:t>in excess of</w:t>
      </w:r>
      <w:proofErr w:type="gramEnd"/>
      <w:r w:rsidR="00A50AEA" w:rsidRPr="00EB0D2F">
        <w:rPr>
          <w:rFonts w:cs="Times New Roman"/>
          <w:i w:val="0"/>
          <w:iCs/>
          <w:sz w:val="20"/>
          <w:szCs w:val="24"/>
        </w:rPr>
        <w:t xml:space="preserve"> the median random portfolio. It shows that the data-driven diversification using statistical clusters and PCA can consistently beat a naive strategy that gives equal weight to all stocks.</w:t>
      </w:r>
    </w:p>
    <w:p w14:paraId="65C6E91B" w14:textId="362DE3C6" w:rsidR="00413509" w:rsidRPr="007130E7" w:rsidRDefault="00A50AEA" w:rsidP="007130E7">
      <w:pPr>
        <w:rPr>
          <w:rFonts w:cs="Times New Roman"/>
          <w:sz w:val="20"/>
          <w:szCs w:val="24"/>
        </w:rPr>
      </w:pPr>
      <w:r w:rsidRPr="00EB0D2F">
        <w:rPr>
          <w:rFonts w:cs="Times New Roman"/>
          <w:i w:val="0"/>
          <w:iCs/>
          <w:sz w:val="20"/>
          <w:szCs w:val="24"/>
        </w:rPr>
        <w:t>Moreover, this model is scalable to include non-financial constraints as indicated in [9]. For instance, to incorporate a policy that demands decarbonization, we could avoid or give lower weight to clusters where high-carbon sectors are abundant (e.g. fossil-fuel energy) and recalculate the efficient frontier. This offers the advantage that the machinery can be reused and provides a quick transformation between traditional risk–return optimization and ESG-driven portfolio construction</w:t>
      </w:r>
      <w:r w:rsidRPr="007130E7">
        <w:rPr>
          <w:rFonts w:cs="Times New Roman"/>
          <w:sz w:val="20"/>
          <w:szCs w:val="24"/>
        </w:rPr>
        <w:t>.</w:t>
      </w:r>
    </w:p>
    <w:p w14:paraId="1AE9A21A" w14:textId="4099780F" w:rsidR="00413509" w:rsidRPr="007130E7" w:rsidRDefault="007130E7" w:rsidP="00A50AEA">
      <w:pPr>
        <w:pStyle w:val="Caption"/>
        <w:jc w:val="center"/>
        <w:rPr>
          <w:rFonts w:cs="Times New Roman"/>
          <w:sz w:val="20"/>
          <w:szCs w:val="20"/>
        </w:rPr>
      </w:pPr>
      <w:r>
        <w:rPr>
          <w:rFonts w:cs="Times New Roman"/>
          <w:sz w:val="20"/>
          <w:szCs w:val="20"/>
        </w:rPr>
        <w:t xml:space="preserve">                                                                                                                 </w:t>
      </w:r>
      <w:r w:rsidR="00000000" w:rsidRPr="007130E7">
        <w:rPr>
          <w:rFonts w:cs="Times New Roman"/>
          <w:sz w:val="20"/>
          <w:szCs w:val="20"/>
        </w:rPr>
        <w:t>Figure 6: Efficient Frontier via Monte Carlo Simulation.</w:t>
      </w:r>
    </w:p>
    <w:p w14:paraId="0FFC8B80" w14:textId="77777777" w:rsidR="00413509" w:rsidRPr="00EB0D2F" w:rsidRDefault="00000000">
      <w:pPr>
        <w:pStyle w:val="Heading1"/>
        <w:spacing w:before="240" w:after="120"/>
        <w:rPr>
          <w:rFonts w:ascii="Times New Roman" w:hAnsi="Times New Roman" w:cs="Times New Roman"/>
          <w:i w:val="0"/>
          <w:iCs/>
        </w:rPr>
      </w:pPr>
      <w:r w:rsidRPr="00EB0D2F">
        <w:rPr>
          <w:rFonts w:ascii="Times New Roman" w:hAnsi="Times New Roman" w:cs="Times New Roman"/>
          <w:i w:val="0"/>
          <w:iCs/>
        </w:rPr>
        <w:t>5. Conclusion</w:t>
      </w:r>
    </w:p>
    <w:p w14:paraId="2180605E" w14:textId="58C303D6" w:rsidR="00A50AEA" w:rsidRPr="007130E7" w:rsidRDefault="003C01A1" w:rsidP="00A50AEA">
      <w:pPr>
        <w:pStyle w:val="NormalWeb"/>
        <w:rPr>
          <w:sz w:val="20"/>
          <w:szCs w:val="20"/>
        </w:rPr>
      </w:pPr>
      <w:r w:rsidRPr="003C01A1">
        <w:rPr>
          <w:sz w:val="20"/>
          <w:szCs w:val="20"/>
        </w:rPr>
        <w:t>This project aimed to investigate the behaviour of the contemporary US equity market using high-dimensional data.</w:t>
      </w:r>
      <w:r>
        <w:rPr>
          <w:sz w:val="20"/>
          <w:szCs w:val="20"/>
        </w:rPr>
        <w:t xml:space="preserve"> </w:t>
      </w:r>
      <w:r w:rsidR="00042BAF" w:rsidRPr="00042BAF">
        <w:rPr>
          <w:sz w:val="20"/>
          <w:szCs w:val="20"/>
        </w:rPr>
        <w:t>We quantitatively characterise market risk using realised S&amp;P 500 data and unsupervised learning techniques.</w:t>
      </w:r>
      <w:r w:rsidR="00042BAF" w:rsidRPr="00042BAF">
        <w:rPr>
          <w:sz w:val="20"/>
          <w:szCs w:val="20"/>
        </w:rPr>
        <w:t xml:space="preserve"> </w:t>
      </w:r>
      <w:r w:rsidR="00A50AEA" w:rsidRPr="007130E7">
        <w:rPr>
          <w:sz w:val="20"/>
          <w:szCs w:val="20"/>
        </w:rPr>
        <w:t>Using PCA, we found that the S&amp;P 500 is tightly integrated, as evidenced by a first principal component accounting for approximately 40% of daily returns. This is weighted toward mega-cap tech names, including NVIDIA, Microsoft and Apple; therefore, the index is highly tech-oriented, resulting in highly concentrated exposure within passive index funds.</w:t>
      </w:r>
    </w:p>
    <w:p w14:paraId="54FDAA39" w14:textId="1AE2953F" w:rsidR="00A50AEA" w:rsidRPr="007130E7" w:rsidRDefault="00A50AEA" w:rsidP="00A50AEA">
      <w:pPr>
        <w:pStyle w:val="NormalWeb"/>
        <w:rPr>
          <w:sz w:val="20"/>
          <w:szCs w:val="20"/>
        </w:rPr>
      </w:pPr>
      <w:r w:rsidRPr="007130E7">
        <w:rPr>
          <w:sz w:val="20"/>
          <w:szCs w:val="20"/>
        </w:rPr>
        <w:t>PCA</w:t>
      </w:r>
      <w:r w:rsidRPr="007130E7">
        <w:rPr>
          <w:sz w:val="20"/>
          <w:szCs w:val="20"/>
        </w:rPr>
        <w:t xml:space="preserve"> </w:t>
      </w:r>
      <w:r w:rsidRPr="007130E7">
        <w:rPr>
          <w:sz w:val="20"/>
          <w:szCs w:val="20"/>
        </w:rPr>
        <w:t> </w:t>
      </w:r>
      <w:r w:rsidRPr="007130E7">
        <w:rPr>
          <w:sz w:val="20"/>
          <w:szCs w:val="20"/>
        </w:rPr>
        <w:t xml:space="preserve">in a rolling-window framework suggested that systemic risk is time-varying. PC1 variance drops and spikes over time, </w:t>
      </w:r>
      <w:r w:rsidR="003C01A1" w:rsidRPr="003C01A1">
        <w:rPr>
          <w:sz w:val="20"/>
          <w:szCs w:val="20"/>
        </w:rPr>
        <w:t>its peak (almost 60%) occurs during the March 2020 COVID-19-induced market decline.</w:t>
      </w:r>
      <w:r w:rsidRPr="007130E7">
        <w:rPr>
          <w:sz w:val="20"/>
          <w:szCs w:val="20"/>
        </w:rPr>
        <w:t xml:space="preserve"> This is consistent with a "correlation breakdown," in which assets that </w:t>
      </w:r>
      <w:r w:rsidRPr="007130E7">
        <w:rPr>
          <w:sz w:val="20"/>
          <w:szCs w:val="20"/>
        </w:rPr>
        <w:t>typic</w:t>
      </w:r>
      <w:r w:rsidRPr="007130E7">
        <w:rPr>
          <w:sz w:val="20"/>
          <w:szCs w:val="20"/>
        </w:rPr>
        <w:t xml:space="preserve">ally move independently begin moving in tandem during crises, and conventional diversification </w:t>
      </w:r>
      <w:r w:rsidRPr="007130E7">
        <w:rPr>
          <w:sz w:val="20"/>
          <w:szCs w:val="20"/>
        </w:rPr>
        <w:t>is</w:t>
      </w:r>
      <w:r w:rsidRPr="007130E7">
        <w:rPr>
          <w:sz w:val="20"/>
          <w:szCs w:val="20"/>
        </w:rPr>
        <w:t xml:space="preserve"> </w:t>
      </w:r>
      <w:r w:rsidRPr="007130E7">
        <w:rPr>
          <w:sz w:val="20"/>
          <w:szCs w:val="20"/>
        </w:rPr>
        <w:t>ineffective</w:t>
      </w:r>
      <w:r w:rsidRPr="007130E7">
        <w:rPr>
          <w:sz w:val="20"/>
          <w:szCs w:val="20"/>
        </w:rPr>
        <w:t>.</w:t>
      </w:r>
    </w:p>
    <w:p w14:paraId="22782FC4" w14:textId="432134BA" w:rsidR="00A50AEA" w:rsidRPr="007130E7" w:rsidRDefault="00A50AEA" w:rsidP="00A50AEA">
      <w:pPr>
        <w:pStyle w:val="NormalWeb"/>
        <w:rPr>
          <w:sz w:val="20"/>
          <w:szCs w:val="20"/>
        </w:rPr>
      </w:pPr>
      <w:r w:rsidRPr="007130E7">
        <w:rPr>
          <w:sz w:val="20"/>
          <w:szCs w:val="20"/>
        </w:rPr>
        <w:t xml:space="preserve">We also employed </w:t>
      </w:r>
      <w:r w:rsidR="00720AEB">
        <w:rPr>
          <w:sz w:val="20"/>
          <w:szCs w:val="20"/>
        </w:rPr>
        <w:t xml:space="preserve">K-means </w:t>
      </w:r>
      <w:r w:rsidRPr="007130E7">
        <w:rPr>
          <w:sz w:val="20"/>
          <w:szCs w:val="20"/>
        </w:rPr>
        <w:t>clustering for analy</w:t>
      </w:r>
      <w:r w:rsidRPr="007130E7">
        <w:rPr>
          <w:sz w:val="20"/>
          <w:szCs w:val="20"/>
        </w:rPr>
        <w:t>s</w:t>
      </w:r>
      <w:r w:rsidRPr="007130E7">
        <w:rPr>
          <w:sz w:val="20"/>
          <w:szCs w:val="20"/>
        </w:rPr>
        <w:t xml:space="preserve">ing stock </w:t>
      </w:r>
      <w:proofErr w:type="gramStart"/>
      <w:r w:rsidRPr="007130E7">
        <w:rPr>
          <w:sz w:val="20"/>
          <w:szCs w:val="20"/>
        </w:rPr>
        <w:t>correlations, and</w:t>
      </w:r>
      <w:proofErr w:type="gramEnd"/>
      <w:r w:rsidRPr="007130E7">
        <w:rPr>
          <w:sz w:val="20"/>
          <w:szCs w:val="20"/>
        </w:rPr>
        <w:t xml:space="preserve"> discovered various patterns such as </w:t>
      </w:r>
      <w:r w:rsidRPr="007130E7">
        <w:rPr>
          <w:sz w:val="20"/>
          <w:szCs w:val="20"/>
        </w:rPr>
        <w:t xml:space="preserve">a lack </w:t>
      </w:r>
      <w:r w:rsidRPr="007130E7">
        <w:rPr>
          <w:sz w:val="20"/>
          <w:szCs w:val="20"/>
        </w:rPr>
        <w:t xml:space="preserve">of correlation between Energy and Technology during the 2022 inflation shock. We believe this methodology offers </w:t>
      </w:r>
      <w:r w:rsidRPr="007130E7">
        <w:rPr>
          <w:sz w:val="20"/>
          <w:szCs w:val="20"/>
        </w:rPr>
        <w:t xml:space="preserve">a </w:t>
      </w:r>
      <w:r w:rsidRPr="007130E7">
        <w:rPr>
          <w:sz w:val="20"/>
          <w:szCs w:val="20"/>
        </w:rPr>
        <w:t>more flexible approach to portfolio construction than traditional, index-based</w:t>
      </w:r>
      <w:r w:rsidRPr="007130E7">
        <w:rPr>
          <w:sz w:val="20"/>
          <w:szCs w:val="20"/>
        </w:rPr>
        <w:t xml:space="preserve"> </w:t>
      </w:r>
      <w:r w:rsidRPr="007130E7">
        <w:rPr>
          <w:sz w:val="20"/>
          <w:szCs w:val="20"/>
        </w:rPr>
        <w:t> </w:t>
      </w:r>
      <w:r w:rsidRPr="007130E7">
        <w:rPr>
          <w:sz w:val="20"/>
          <w:szCs w:val="20"/>
        </w:rPr>
        <w:t>sector classifications. Simulations demonstrated</w:t>
      </w:r>
      <w:r w:rsidRPr="007130E7">
        <w:rPr>
          <w:sz w:val="20"/>
          <w:szCs w:val="20"/>
        </w:rPr>
        <w:t xml:space="preserve"> </w:t>
      </w:r>
      <w:r w:rsidRPr="007130E7">
        <w:rPr>
          <w:sz w:val="20"/>
          <w:szCs w:val="20"/>
        </w:rPr>
        <w:t> </w:t>
      </w:r>
      <w:r w:rsidRPr="007130E7">
        <w:rPr>
          <w:sz w:val="20"/>
          <w:szCs w:val="20"/>
        </w:rPr>
        <w:t>that data-driven diversification yields higher risk-adjusted returns than random selection and can incorporate a range of E</w:t>
      </w:r>
      <w:r w:rsidR="004B7F9A">
        <w:rPr>
          <w:sz w:val="20"/>
          <w:szCs w:val="20"/>
        </w:rPr>
        <w:t>S</w:t>
      </w:r>
      <w:r w:rsidRPr="007130E7">
        <w:rPr>
          <w:sz w:val="20"/>
          <w:szCs w:val="20"/>
        </w:rPr>
        <w:t>G constraints, including climate risk.</w:t>
      </w:r>
    </w:p>
    <w:p w14:paraId="39266EDF" w14:textId="51A2C1EA" w:rsidR="002C404E" w:rsidRDefault="00A50AEA" w:rsidP="002C404E">
      <w:pPr>
        <w:pStyle w:val="NormalWeb"/>
        <w:rPr>
          <w:sz w:val="20"/>
          <w:szCs w:val="20"/>
        </w:rPr>
      </w:pPr>
      <w:r w:rsidRPr="007130E7">
        <w:rPr>
          <w:sz w:val="20"/>
          <w:szCs w:val="20"/>
        </w:rPr>
        <w:t>More generally, this paper illustrates the way in which high-dimensional data analytics links together theory and empirical practice: PCA pertains to multifactor pricing, rolling windows correspond to regime shifts, and clustering implies diversification. Future research</w:t>
      </w:r>
      <w:r w:rsidRPr="007130E7">
        <w:rPr>
          <w:sz w:val="20"/>
          <w:szCs w:val="20"/>
        </w:rPr>
        <w:t xml:space="preserve"> </w:t>
      </w:r>
      <w:r w:rsidRPr="007130E7">
        <w:rPr>
          <w:sz w:val="20"/>
          <w:szCs w:val="20"/>
        </w:rPr>
        <w:t> </w:t>
      </w:r>
      <w:r w:rsidRPr="007130E7">
        <w:rPr>
          <w:sz w:val="20"/>
          <w:szCs w:val="20"/>
        </w:rPr>
        <w:t>can target the inclusion of LSTM models for predicting market movements and the incorporation of climate and sustainability restrictions in portfolio optimi</w:t>
      </w:r>
      <w:r w:rsidRPr="007130E7">
        <w:rPr>
          <w:sz w:val="20"/>
          <w:szCs w:val="20"/>
        </w:rPr>
        <w:t>s</w:t>
      </w:r>
      <w:r w:rsidRPr="007130E7">
        <w:rPr>
          <w:sz w:val="20"/>
          <w:szCs w:val="20"/>
        </w:rPr>
        <w:t>ation to better align with</w:t>
      </w:r>
      <w:r w:rsidR="004B7F9A">
        <w:rPr>
          <w:sz w:val="20"/>
          <w:szCs w:val="20"/>
        </w:rPr>
        <w:t xml:space="preserve"> </w:t>
      </w:r>
      <w:r w:rsidR="004B7F9A" w:rsidRPr="004B7F9A">
        <w:rPr>
          <w:sz w:val="20"/>
          <w:szCs w:val="20"/>
        </w:rPr>
        <w:t>these aims</w:t>
      </w:r>
      <w:r w:rsidR="004B7F9A" w:rsidRPr="004B7F9A">
        <w:rPr>
          <w:sz w:val="20"/>
          <w:szCs w:val="20"/>
        </w:rPr>
        <w:t xml:space="preserve"> </w:t>
      </w:r>
      <w:r w:rsidR="000E7CFA">
        <w:rPr>
          <w:sz w:val="20"/>
          <w:szCs w:val="20"/>
        </w:rPr>
        <w:t>[4,9].</w:t>
      </w:r>
    </w:p>
    <w:p w14:paraId="1E5D8ADB" w14:textId="2AEC3E0E" w:rsidR="000E7CFA" w:rsidRPr="002C404E" w:rsidRDefault="00000000" w:rsidP="002C404E">
      <w:pPr>
        <w:pStyle w:val="NormalWeb"/>
        <w:rPr>
          <w:sz w:val="20"/>
          <w:szCs w:val="20"/>
          <w:lang w:val="en-US"/>
        </w:rPr>
      </w:pPr>
      <w:r w:rsidRPr="002C404E">
        <w:rPr>
          <w:rStyle w:val="Heading1Char"/>
          <w:rFonts w:ascii="Times New Roman" w:hAnsi="Times New Roman" w:cs="Times New Roman"/>
          <w:color w:val="000000" w:themeColor="text1"/>
        </w:rPr>
        <w:t>References</w:t>
      </w:r>
      <w:r w:rsidR="002C404E">
        <w:br/>
      </w:r>
      <w:r w:rsidRPr="007130E7">
        <w:rPr>
          <w:sz w:val="20"/>
        </w:rPr>
        <w:t>[1] Decoding the Stock Market Dynamics in the Banking Sector: Short Versus Long-Term Insights. (2024). Journal of Finance and Data Science.</w:t>
      </w:r>
      <w:r w:rsidR="000E7CFA">
        <w:rPr>
          <w:sz w:val="20"/>
        </w:rPr>
        <w:br/>
      </w:r>
      <w:r w:rsidRPr="007130E7">
        <w:rPr>
          <w:sz w:val="20"/>
        </w:rPr>
        <w:t>[2] Detecting Market Instability with Regime Switching Models: A Markov-Switching Analysis of the S&amp;P 500 Index. (2023). Quantitative Finance.</w:t>
      </w:r>
      <w:r w:rsidR="000E7CFA">
        <w:rPr>
          <w:sz w:val="20"/>
        </w:rPr>
        <w:br/>
      </w:r>
      <w:r w:rsidRPr="007130E7">
        <w:rPr>
          <w:sz w:val="20"/>
        </w:rPr>
        <w:t>[3] Danielsson, J., et al. (2016). Systemic risk measures: The simpler the better? Journal of Financial Stability.</w:t>
      </w:r>
      <w:r w:rsidR="000E7CFA">
        <w:rPr>
          <w:sz w:val="20"/>
        </w:rPr>
        <w:br/>
      </w:r>
      <w:r w:rsidRPr="007130E7">
        <w:rPr>
          <w:sz w:val="20"/>
        </w:rPr>
        <w:t>[4] A long short-term memory network-based approach for predicting the trends in the S&amp;P 500 index. (2020). Expert Systems with Applications.</w:t>
      </w:r>
      <w:r w:rsidR="000E7CFA">
        <w:rPr>
          <w:sz w:val="20"/>
        </w:rPr>
        <w:br/>
      </w:r>
      <w:r w:rsidRPr="007130E7">
        <w:rPr>
          <w:sz w:val="20"/>
        </w:rPr>
        <w:t>[5] Predicting a Stock Market Correction: Evidence from the S&amp;P 500 Index. (2022). International Journal of Forecasting.</w:t>
      </w:r>
      <w:r w:rsidR="000E7CFA">
        <w:rPr>
          <w:sz w:val="20"/>
        </w:rPr>
        <w:br/>
      </w:r>
      <w:r w:rsidRPr="007130E7">
        <w:rPr>
          <w:sz w:val="20"/>
        </w:rPr>
        <w:t>[6] S&amp;P 500 Trend Prediction. (2021). Computational Economics.</w:t>
      </w:r>
      <w:r w:rsidR="000E7CFA">
        <w:rPr>
          <w:sz w:val="20"/>
        </w:rPr>
        <w:br/>
      </w:r>
      <w:r w:rsidRPr="007130E7">
        <w:rPr>
          <w:sz w:val="20"/>
        </w:rPr>
        <w:t>[7] Markowitz, H. (1952). Portfolio Selection. The Journal of Finance.</w:t>
      </w:r>
      <w:r w:rsidR="000E7CFA">
        <w:rPr>
          <w:sz w:val="20"/>
        </w:rPr>
        <w:br/>
      </w:r>
      <w:r w:rsidRPr="007130E7">
        <w:rPr>
          <w:sz w:val="20"/>
        </w:rPr>
        <w:t>[8] Sectoral Analysis and Risk Strategies in Economic Fluctuations: A Study on the S&amp;P 500. (2023). Journal of Economic Studies.</w:t>
      </w:r>
      <w:r w:rsidR="000E7CFA">
        <w:rPr>
          <w:sz w:val="20"/>
        </w:rPr>
        <w:br/>
      </w:r>
      <w:r w:rsidRPr="007130E7">
        <w:rPr>
          <w:sz w:val="20"/>
        </w:rPr>
        <w:t xml:space="preserve">[9] Portfolio </w:t>
      </w:r>
      <w:proofErr w:type="spellStart"/>
      <w:r w:rsidRPr="007130E7">
        <w:rPr>
          <w:sz w:val="20"/>
        </w:rPr>
        <w:t>Optimi</w:t>
      </w:r>
      <w:r w:rsidR="000E7CFA">
        <w:rPr>
          <w:sz w:val="20"/>
        </w:rPr>
        <w:t>s</w:t>
      </w:r>
      <w:r w:rsidRPr="007130E7">
        <w:rPr>
          <w:sz w:val="20"/>
        </w:rPr>
        <w:t>ation</w:t>
      </w:r>
      <w:proofErr w:type="spellEnd"/>
      <w:r w:rsidRPr="007130E7">
        <w:rPr>
          <w:sz w:val="20"/>
        </w:rPr>
        <w:t xml:space="preserve"> and Climate Risk: Decarbonization of the S&amp;P 500 Index. (2024). Sustainable Finance Economics.</w:t>
      </w:r>
      <w:r w:rsidR="000E7CFA">
        <w:rPr>
          <w:sz w:val="20"/>
        </w:rPr>
        <w:br/>
      </w:r>
      <w:r w:rsidR="000E7CFA" w:rsidRPr="000E7CFA">
        <w:rPr>
          <w:sz w:val="20"/>
        </w:rPr>
        <w:t xml:space="preserve">[10] Yahoo Finance API Documentation. (2024). </w:t>
      </w:r>
      <w:proofErr w:type="spellStart"/>
      <w:r w:rsidR="000E7CFA" w:rsidRPr="000E7CFA">
        <w:rPr>
          <w:sz w:val="20"/>
        </w:rPr>
        <w:t>yfinance</w:t>
      </w:r>
      <w:proofErr w:type="spellEnd"/>
      <w:r w:rsidR="000E7CFA" w:rsidRPr="000E7CFA">
        <w:rPr>
          <w:sz w:val="20"/>
        </w:rPr>
        <w:t xml:space="preserve">. Retrieved from </w:t>
      </w:r>
      <w:proofErr w:type="spellStart"/>
      <w:r w:rsidR="000E7CFA" w:rsidRPr="000E7CFA">
        <w:rPr>
          <w:sz w:val="20"/>
        </w:rPr>
        <w:t>PyPI</w:t>
      </w:r>
      <w:proofErr w:type="spellEnd"/>
      <w:r w:rsidR="000E7CFA" w:rsidRPr="000E7CFA">
        <w:rPr>
          <w:sz w:val="20"/>
        </w:rPr>
        <w:t>.</w:t>
      </w:r>
    </w:p>
    <w:sectPr w:rsidR="000E7CFA" w:rsidRPr="002C404E" w:rsidSect="00034616">
      <w:pgSz w:w="12240" w:h="15840"/>
      <w:pgMar w:top="720" w:right="850" w:bottom="7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176A10"/>
    <w:multiLevelType w:val="hybridMultilevel"/>
    <w:tmpl w:val="9160A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5B42AE"/>
    <w:multiLevelType w:val="multilevel"/>
    <w:tmpl w:val="AB3252D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A60DA1"/>
    <w:multiLevelType w:val="hybridMultilevel"/>
    <w:tmpl w:val="1B04E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DD5729"/>
    <w:multiLevelType w:val="hybridMultilevel"/>
    <w:tmpl w:val="AB3252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D5E1D1F"/>
    <w:multiLevelType w:val="hybridMultilevel"/>
    <w:tmpl w:val="DAEAF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3B32B8"/>
    <w:multiLevelType w:val="hybridMultilevel"/>
    <w:tmpl w:val="E3663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D41F7E"/>
    <w:multiLevelType w:val="hybridMultilevel"/>
    <w:tmpl w:val="9D4E1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98448A"/>
    <w:multiLevelType w:val="hybridMultilevel"/>
    <w:tmpl w:val="6C709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492A45"/>
    <w:multiLevelType w:val="hybridMultilevel"/>
    <w:tmpl w:val="C9BE2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6E5923"/>
    <w:multiLevelType w:val="hybridMultilevel"/>
    <w:tmpl w:val="1868C0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C90FF6"/>
    <w:multiLevelType w:val="hybridMultilevel"/>
    <w:tmpl w:val="2332B8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B03CC9"/>
    <w:multiLevelType w:val="hybridMultilevel"/>
    <w:tmpl w:val="AB3252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5314649">
    <w:abstractNumId w:val="8"/>
  </w:num>
  <w:num w:numId="2" w16cid:durableId="275448012">
    <w:abstractNumId w:val="6"/>
  </w:num>
  <w:num w:numId="3" w16cid:durableId="848955263">
    <w:abstractNumId w:val="5"/>
  </w:num>
  <w:num w:numId="4" w16cid:durableId="1128474970">
    <w:abstractNumId w:val="4"/>
  </w:num>
  <w:num w:numId="5" w16cid:durableId="1281108004">
    <w:abstractNumId w:val="7"/>
  </w:num>
  <w:num w:numId="6" w16cid:durableId="1653168936">
    <w:abstractNumId w:val="3"/>
  </w:num>
  <w:num w:numId="7" w16cid:durableId="1479373070">
    <w:abstractNumId w:val="2"/>
  </w:num>
  <w:num w:numId="8" w16cid:durableId="1986931163">
    <w:abstractNumId w:val="1"/>
  </w:num>
  <w:num w:numId="9" w16cid:durableId="1741366986">
    <w:abstractNumId w:val="0"/>
  </w:num>
  <w:num w:numId="10" w16cid:durableId="680354081">
    <w:abstractNumId w:val="18"/>
  </w:num>
  <w:num w:numId="11" w16cid:durableId="1090930440">
    <w:abstractNumId w:val="14"/>
  </w:num>
  <w:num w:numId="12" w16cid:durableId="190068929">
    <w:abstractNumId w:val="19"/>
  </w:num>
  <w:num w:numId="13" w16cid:durableId="341861388">
    <w:abstractNumId w:val="17"/>
  </w:num>
  <w:num w:numId="14" w16cid:durableId="762921123">
    <w:abstractNumId w:val="16"/>
  </w:num>
  <w:num w:numId="15" w16cid:durableId="1139571730">
    <w:abstractNumId w:val="9"/>
  </w:num>
  <w:num w:numId="16" w16cid:durableId="1747998383">
    <w:abstractNumId w:val="15"/>
  </w:num>
  <w:num w:numId="17" w16cid:durableId="1231039127">
    <w:abstractNumId w:val="11"/>
  </w:num>
  <w:num w:numId="18" w16cid:durableId="65108993">
    <w:abstractNumId w:val="12"/>
  </w:num>
  <w:num w:numId="19" w16cid:durableId="1560896051">
    <w:abstractNumId w:val="10"/>
  </w:num>
  <w:num w:numId="20" w16cid:durableId="476263199">
    <w:abstractNumId w:val="20"/>
  </w:num>
  <w:num w:numId="21" w16cid:durableId="562107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BAF"/>
    <w:rsid w:val="0006063C"/>
    <w:rsid w:val="000E7CFA"/>
    <w:rsid w:val="0015074B"/>
    <w:rsid w:val="0029639D"/>
    <w:rsid w:val="002C404E"/>
    <w:rsid w:val="00326F90"/>
    <w:rsid w:val="003C01A1"/>
    <w:rsid w:val="00413509"/>
    <w:rsid w:val="00496722"/>
    <w:rsid w:val="004B7F9A"/>
    <w:rsid w:val="00525265"/>
    <w:rsid w:val="006620D8"/>
    <w:rsid w:val="006C0001"/>
    <w:rsid w:val="006F7EDD"/>
    <w:rsid w:val="007130E7"/>
    <w:rsid w:val="00720AEB"/>
    <w:rsid w:val="007A65D3"/>
    <w:rsid w:val="008A0B1F"/>
    <w:rsid w:val="009C4621"/>
    <w:rsid w:val="00A50AEA"/>
    <w:rsid w:val="00AA1D8D"/>
    <w:rsid w:val="00AA7CA8"/>
    <w:rsid w:val="00B47730"/>
    <w:rsid w:val="00B97AC6"/>
    <w:rsid w:val="00BC7D76"/>
    <w:rsid w:val="00CB0664"/>
    <w:rsid w:val="00DD5ED4"/>
    <w:rsid w:val="00E57FE0"/>
    <w:rsid w:val="00EB0D2F"/>
    <w:rsid w:val="00F00042"/>
    <w:rsid w:val="00F34963"/>
    <w:rsid w:val="00FA7AE5"/>
    <w:rsid w:val="00FC4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7E8CC"/>
  <w14:defaultImageDpi w14:val="300"/>
  <w15:docId w15:val="{3DBF9BDE-5E98-9B4C-8156-302544A70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D5ED4"/>
    <w:rPr>
      <w:color w:val="666666"/>
    </w:rPr>
  </w:style>
  <w:style w:type="numbering" w:customStyle="1" w:styleId="CurrentList1">
    <w:name w:val="Current List1"/>
    <w:uiPriority w:val="99"/>
    <w:rsid w:val="00A50AEA"/>
    <w:pPr>
      <w:numPr>
        <w:numId w:val="19"/>
      </w:numPr>
    </w:pPr>
  </w:style>
  <w:style w:type="paragraph" w:styleId="NormalWeb">
    <w:name w:val="Normal (Web)"/>
    <w:basedOn w:val="Normal"/>
    <w:uiPriority w:val="99"/>
    <w:unhideWhenUsed/>
    <w:rsid w:val="00A50AEA"/>
    <w:pPr>
      <w:spacing w:before="100" w:beforeAutospacing="1" w:after="100" w:afterAutospacing="1" w:line="240" w:lineRule="auto"/>
    </w:pPr>
    <w:rPr>
      <w:rFonts w:eastAsia="Times New Roman" w:cs="Times New Roman"/>
      <w:i w:val="0"/>
      <w:sz w:val="24"/>
      <w:szCs w:val="24"/>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4532</Words>
  <Characters>25838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CHIANG, YU-CHIN (PGT)</cp:lastModifiedBy>
  <cp:revision>3</cp:revision>
  <cp:lastPrinted>2025-12-15T19:18:00Z</cp:lastPrinted>
  <dcterms:created xsi:type="dcterms:W3CDTF">2025-12-15T19:18:00Z</dcterms:created>
  <dcterms:modified xsi:type="dcterms:W3CDTF">2025-12-15T19:18:00Z</dcterms:modified>
  <cp:category/>
</cp:coreProperties>
</file>