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PRD — Proceso de Alta de Cliente</w:t>
      </w:r>
    </w:p>
    <w:p>
      <w:pPr>
        <w:spacing w:after="240"/>
        <w:jc w:val="center"/>
      </w:pPr>
      <w:r>
        <w:rPr>
          <w:sz w:val="28"/>
          <w:szCs w:val="28"/>
        </w:rPr>
        <w:t xml:space="preserve">Sistema de Compliance HC DCAC</w:t>
      </w:r>
    </w:p>
    <w:p>
      <w:pPr>
        <w:spacing w:after="240"/>
        <w:jc w:val="center"/>
      </w:pPr>
      <w:r>
        <w:rPr>
          <w:i/>
          <w:iCs/>
          <w:sz w:val="24"/>
          <w:szCs w:val="24"/>
        </w:rPr>
        <w:t xml:space="preserve">Vista administrador — flujo en 4 pasos</w:t>
      </w:r>
    </w:p>
    <w:p>
      <w:pPr>
        <w:spacing w:after="240"/>
        <w:jc w:val="center"/>
      </w:pPr>
      <w:r>
        <w:rPr>
          <w:sz w:val="22"/>
          <w:szCs w:val="22"/>
        </w:rPr>
        <w:t xml:space="preserve">Versión 1.0  •  Fecha: 22/04/2026</w:t>
      </w:r>
    </w:p>
    <w:p>
      <w:r>
        <w:br w:type="page"/>
      </w:r>
    </w:p>
    <w:p>
      <w:pPr>
        <w:pStyle w:val="Heading1"/>
      </w:pPr>
      <w:r>
        <w:t xml:space="preserve">1. Contexto</w:t>
      </w:r>
    </w:p>
    <w:p>
      <w:pPr>
        <w:spacing w:after="120"/>
      </w:pPr>
      <w:r>
        <w:t xml:space="preserve">La herramienta de Compliance de HC DCAC gestiona el alta de clientes (sociedades y personas humanas) bajo los requisitos de la normativa UIF. El equipo de compliance es el responsable de revisar la documentación, validar los datos cargados, asignar el nivel de riesgo y aprobar el alta definitiva.</w:t>
      </w:r>
    </w:p>
    <w:p>
      <w:pPr>
        <w:pStyle w:val="Heading2"/>
      </w:pPr>
      <w:r>
        <w:t xml:space="preserve">1.1 Trigger del proceso</w:t>
      </w:r>
    </w:p>
    <w:p>
      <w:pPr>
        <w:spacing w:after="120"/>
      </w:pPr>
      <w:r>
        <w:rPr>
          <w:b/>
          <w:bCs/>
          <w:color w:val="C00000"/>
        </w:rPr>
        <w:t xml:space="preserve">IMPORTANTE: </w:t>
      </w:r>
      <w:r>
        <w:t xml:space="preserve">el proceso de compliance se inicia desde el front del cliente (vista cliente, ver PRD_alta_usuario_psp.docx). El trigger es el envío de la solicitud por parte del cliente: el cliente completa su formulario, carga la documentación requerida, acepta los Términos y Condiciones y envía la solicitud. Recién en ese momento (no al cargar un documento aislado) la solicitud pasa a “En revisión” en vista cliente y se crea el alta en estado “pendiente” en vista administrador. El alta no se crea manualmente desde el back-office; el back-office la recibe y la procesa.</w:t>
      </w:r>
    </w:p>
    <w:p>
      <w:pPr>
        <w:spacing w:after="120"/>
      </w:pPr>
      <w:r>
        <w:t xml:space="preserve">Este PRD describe únicamente la vista del administrador / oficial de cumplimiento. La vista cliente queda fuera de alcance, salvo por la definición del trigger, el mapping de estados y los datos mínimos que llegan al recibir el evento.</w:t>
      </w:r>
    </w:p>
    <w:p>
      <w:pPr>
        <w:pStyle w:val="Heading2"/>
      </w:pPr>
      <w:r>
        <w:t xml:space="preserve">1.2 Mapping de estados (cliente ↔ admin)</w:t>
      </w:r>
    </w:p>
    <w:p>
      <w:pPr>
        <w:spacing w:after="120"/>
      </w:pPr>
      <w:r>
        <w:t xml:space="preserve">El front del cliente y el back-office trabajan con la misma máquina de estados, pero los nombres se exponen distinto según la audiencia. Esta tabla fija el mapping y debe usarse como fuente única para alinear ambos PRDs.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cliente</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admin</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Cuándo / qué significa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 solicitud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(no existe el alta aún)</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todavía no envió la solicitud. El back-office no ve el alta.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 revisión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pendiente</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envió la solicitud (form completo + docs + T&amp;C aceptados). Compliance todavía no decide.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 pendiente de firma (solo PJ)</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 – pendiente firmas</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aprobó el alta y definió los firmantes obligatorios. Falta que firmen el contrato de adhesión vía Signatura. No aplica a Persona Humana.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PF: Compliance aprobó. PJ: Compliance aprobó y todas las firmas obligatorias están completas. Dispara el flujo de asignación de CVU (proyecto separado, fuera de alcance).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rechazó el alta. Estado terminal desde la perspectiva del cliente (un administrador puede resetear a “Sin solicitud”).</w:t>
            </w:r>
          </w:p>
        </w:tc>
      </w:tr>
    </w:tbl>
    <w:p>
      <w:pPr>
        <w:pStyle w:val="Heading2"/>
      </w:pPr>
      <w:r>
        <w:t xml:space="preserve">1.3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00"/>
      </w:tblGrid>
      <w:tr>
        <w:tc>
          <w:tcPr>
            <w:tcW w:type="dxa" w:w="1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Nivel (BD)</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Rol funcional</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Permisos clave</w:t>
            </w:r>
          </w:p>
        </w:tc>
      </w:tr>
      <w:tr>
        <w:tc>
          <w:tcPr>
            <w:tcW w:type="dxa" w:w="18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color w:val="000000"/>
                <w:sz w:val="22"/>
                <w:szCs w:val="22"/>
              </w:rPr>
              <w:t xml:space="preserve">nivel_1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Oficial de Cumplimiento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Único rol que puede dar de alta usuarios internos. Aprueba/rechaza alta final, gestiona riesgo, habilita CVU.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senior / Revisor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Revisa documentos, observa, rechaza. Avanza pasos del alta.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junior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datos, sube documentos, completa información de personas.</w:t>
            </w:r>
          </w:p>
        </w:tc>
      </w:tr>
    </w:tbl>
    <w:p>
      <w:pPr>
        <w:spacing w:after="80"/>
      </w:pPr>
      <w:r>
        <w:t xml:space="preserve"/>
      </w:r>
    </w:p>
    <w:p>
      <w:pPr>
        <w:spacing w:after="120"/>
      </w:pPr>
      <w:r>
        <w:rPr>
          <w:i/>
          <w:iCs/>
        </w:rPr>
        <w:t xml:space="preserve">Aclaración: el único rol habilitado para crear nuevos usuarios internos es el Oficial de Cumplimiento (nivel_1).</w:t>
      </w:r>
    </w:p>
    <w:p>
      <w:pPr>
        <w:pStyle w:val="Heading2"/>
      </w:pPr>
      <w:r>
        <w:t xml:space="preserve">1.4 Glosario rápido</w:t>
      </w:r>
    </w:p>
    <w:p>
      <w:pPr>
        <w:pStyle w:val="ListParagraph"/>
        <w:numPr>
          <w:ilvl w:val="0"/>
          <w:numId w:val="2"/>
        </w:numPr>
      </w:pPr>
      <w:r>
        <w:t xml:space="preserve">Alta: proceso de incorporación y validación de un cliente nuevo (sociedad o persona humana).</w:t>
      </w:r>
    </w:p>
    <w:p>
      <w:pPr>
        <w:pStyle w:val="ListParagraph"/>
        <w:numPr>
          <w:ilvl w:val="0"/>
          <w:numId w:val="2"/>
        </w:numPr>
      </w:pPr>
      <w:r>
        <w:t xml:space="preserve">PSP cliente final: el productor. Es el usuario que opera con la plataforma desde la vista cliente (front). En este PRD se referencia indistintamente como "cliente", "cliente final" o "productor".</w:t>
      </w:r>
    </w:p>
    <w:p>
      <w:pPr>
        <w:pStyle w:val="ListParagraph"/>
        <w:numPr>
          <w:ilvl w:val="0"/>
          <w:numId w:val="2"/>
        </w:numPr>
      </w:pPr>
      <w:r>
        <w:t xml:space="preserve">PSP cliente interno: el administrador / oficial de cumplimiento / analista de Compliance que opera desde la vista administrador (back-office).</w:t>
      </w:r>
    </w:p>
    <w:p>
      <w:pPr>
        <w:pStyle w:val="ListParagraph"/>
        <w:numPr>
          <w:ilvl w:val="0"/>
          <w:numId w:val="2"/>
        </w:numPr>
      </w:pPr>
      <w:r>
        <w:t xml:space="preserve">Vista cliente: front donde el cliente carga sus datos y documentos, acepta T&amp;C y envía la solicitud. El envío de la solicitud (no la carga aislada de un documento) es el origen del trigger del compliance interno. Ver PRD_alta_usuario_psp.docx.</w:t>
      </w:r>
    </w:p>
    <w:p>
      <w:pPr>
        <w:pStyle w:val="ListParagraph"/>
        <w:numPr>
          <w:ilvl w:val="0"/>
          <w:numId w:val="2"/>
        </w:numPr>
      </w:pPr>
      <w:r>
        <w:t xml:space="preserve">Vista administrador: back-office donde el equipo de compliance revisa, valida y aprueba.</w:t>
      </w:r>
    </w:p>
    <w:p>
      <w:pPr>
        <w:pStyle w:val="ListParagraph"/>
        <w:numPr>
          <w:ilvl w:val="0"/>
          <w:numId w:val="2"/>
        </w:numPr>
      </w:pPr>
      <w:r>
        <w:t xml:space="preserve">Status pill: indicador visual de color que refleja el estado de un cliente o documento.</w:t>
      </w:r>
    </w:p>
    <w:p>
      <w:pPr>
        <w:pStyle w:val="ListParagraph"/>
        <w:numPr>
          <w:ilvl w:val="0"/>
          <w:numId w:val="2"/>
        </w:numPr>
      </w:pPr>
      <w:r>
        <w:t xml:space="preserve">CVU: cuenta virtual uniforme. La asignación del CVU es responsabilidad de un proyecto separado, fuera del alcance de este PRD. Se dispara automáticamente cuando el alta queda en estado “aceptada” (PF: tras la aprobación de Compliance; PJ: tras la aprobación + firmas completas del contrato de adhesión).</w:t>
      </w:r>
    </w:p>
    <w:p>
      <w:pPr>
        <w:pStyle w:val="ListParagraph"/>
        <w:numPr>
          <w:ilvl w:val="0"/>
          <w:numId w:val="2"/>
        </w:numPr>
      </w:pPr>
      <w:r>
        <w:t xml:space="preserve">Excepción documental: aprobar el alta con documentación faltante, justificada por el oficial.</w:t>
      </w:r>
    </w:p>
    <w:p>
      <w:pPr>
        <w:pStyle w:val="ListParagraph"/>
        <w:numPr>
          <w:ilvl w:val="0"/>
          <w:numId w:val="2"/>
        </w:numPr>
      </w:pPr>
      <w:r>
        <w:t xml:space="preserve">4iDigital: plataforma de validación de identidad biométrica utilizada por el cliente PF en su front. Devuelve datos del DNI ya estructurados; en el back-office se confirman, no se cargan manualmente.</w:t>
      </w:r>
    </w:p>
    <w:p>
      <w:pPr>
        <w:pStyle w:val="ListParagraph"/>
        <w:numPr>
          <w:ilvl w:val="0"/>
          <w:numId w:val="2"/>
        </w:numPr>
      </w:pPr>
      <w:r>
        <w:t xml:space="preserve">Signatura: plataforma de firma digital integrada con la herramienta de Compliance para gestionar las firmas del contrato de adhesión (solo PJ). Ver 03_signatura_conexion.md y 04_signatura_compliance.md.</w:t>
      </w:r>
    </w:p>
    <w:p>
      <w:pPr>
        <w:pStyle w:val="ListParagraph"/>
        <w:numPr>
          <w:ilvl w:val="0"/>
          <w:numId w:val="2"/>
        </w:numPr>
      </w:pPr>
      <w:r>
        <w:t xml:space="preserve">Contrato de adhesión: documento que el cliente PJ debe firmar a través de Signatura como paso previo a la activación final del alta y la asignación de CVU.</w:t>
      </w:r>
    </w:p>
    <w:p>
      <w:pPr>
        <w:pStyle w:val="ListParagraph"/>
        <w:numPr>
          <w:ilvl w:val="0"/>
          <w:numId w:val="2"/>
        </w:numPr>
      </w:pPr>
      <w:r>
        <w:t xml:space="preserve">Firmantes: personas vinculadas a la sociedad que Compliance designa como obligatorias para firmar el contrato de adhesión. Se definen desde la herramienta interna al momento de aprobar el caso, no por el cliente desde el front.</w:t>
      </w:r>
    </w:p>
    <w:p>
      <w:pPr>
        <w:pStyle w:val="ListParagraph"/>
        <w:numPr>
          <w:ilvl w:val="0"/>
          <w:numId w:val="2"/>
        </w:numPr>
      </w:pPr>
      <w:r>
        <w:t xml:space="preserve">PF / Persona Física / Persona Humana: alta de un titular individual. Incluye particulares, profesionales independientes, trabajadores autónomos y monotributistas. No requiere flujo de firmas.</w:t>
      </w:r>
    </w:p>
    <w:p>
      <w:pPr>
        <w:pStyle w:val="ListParagraph"/>
        <w:numPr>
          <w:ilvl w:val="0"/>
          <w:numId w:val="2"/>
        </w:numPr>
      </w:pPr>
      <w:r>
        <w:t xml:space="preserve">PJ / Persona Jurídica: alta de una sociedad (SA, SRL, SH) o sucesión. Requiere flujo de firmas del contrato de adhesión vía Signatura.</w:t>
      </w:r>
    </w:p>
    <w:p>
      <w:r>
        <w:br w:type="page"/>
      </w:r>
    </w:p>
    <w:p>
      <w:pPr>
        <w:pStyle w:val="Heading1"/>
      </w:pPr>
      <w:r>
        <w:t xml:space="preserve">2. Objetivos</w:t>
      </w:r>
    </w:p>
    <w:p>
      <w:pPr>
        <w:pStyle w:val="Heading2"/>
      </w:pPr>
      <w:r>
        <w:t xml:space="preserve">2.1 Objetivo general</w:t>
      </w:r>
    </w:p>
    <w:p>
      <w:pPr>
        <w:spacing w:after="120"/>
      </w:pPr>
      <w:r>
        <w:t xml:space="preserve">Que el equipo de compliance pueda procesar las altas de cliente disparadas desde la vista cliente con trazabilidad, controles y decisiones auditables, en 4 pasos secuenciales.</w:t>
      </w:r>
    </w:p>
    <w:p>
      <w:pPr>
        <w:pStyle w:val="Heading2"/>
      </w:pPr>
      <w:r>
        <w:t xml:space="preserve">2.2 Objetivos específicos</w:t>
      </w:r>
    </w:p>
    <w:p>
      <w:pPr>
        <w:pStyle w:val="ListParagraph"/>
        <w:numPr>
          <w:ilvl w:val="0"/>
          <w:numId w:val="2"/>
        </w:numPr>
      </w:pPr>
      <w:r>
        <w:t xml:space="preserve">Ofrecer una bandeja única de altas pendientes de revisión.</w:t>
      </w:r>
    </w:p>
    <w:p>
      <w:pPr>
        <w:pStyle w:val="ListParagraph"/>
        <w:numPr>
          <w:ilvl w:val="0"/>
          <w:numId w:val="2"/>
        </w:numPr>
      </w:pPr>
      <w:r>
        <w:t xml:space="preserve">Permitir revisar la documentación de cada cliente con vista previa por archivo y registrar la decisión (aceptar / rechazar con motivo / observar) por documento.</w:t>
      </w:r>
    </w:p>
    <w:p>
      <w:pPr>
        <w:pStyle w:val="ListParagraph"/>
        <w:numPr>
          <w:ilvl w:val="0"/>
          <w:numId w:val="2"/>
        </w:numPr>
      </w:pPr>
      <w:r>
        <w:t xml:space="preserve">Permitir avanzar al siguiente paso aún sin tener todos los documentos aprobados, dejando constancia del estado de cada uno.</w:t>
      </w:r>
    </w:p>
    <w:p>
      <w:pPr>
        <w:pStyle w:val="ListParagraph"/>
        <w:numPr>
          <w:ilvl w:val="0"/>
          <w:numId w:val="2"/>
        </w:numPr>
      </w:pPr>
      <w:r>
        <w:t xml:space="preserve">Completar la información maestra de la sociedad y de las personas vinculadas, integrando la data que ya existe en DCAC.</w:t>
      </w:r>
    </w:p>
    <w:p>
      <w:pPr>
        <w:pStyle w:val="ListParagraph"/>
        <w:numPr>
          <w:ilvl w:val="0"/>
          <w:numId w:val="2"/>
        </w:numPr>
      </w:pPr>
      <w:r>
        <w:t xml:space="preserve">Calcular el riesgo del cliente con la matriz correspondiente (sociedad o persona).</w:t>
      </w:r>
    </w:p>
    <w:p>
      <w:pPr>
        <w:pStyle w:val="ListParagraph"/>
        <w:numPr>
          <w:ilvl w:val="0"/>
          <w:numId w:val="2"/>
        </w:numPr>
      </w:pPr>
      <w:r>
        <w:t xml:space="preserve">Validar y editar todo lo cargado en una vista de alta final antes de aprobar.</w:t>
      </w:r>
    </w:p>
    <w:p>
      <w:pPr>
        <w:pStyle w:val="ListParagraph"/>
        <w:numPr>
          <w:ilvl w:val="0"/>
          <w:numId w:val="2"/>
        </w:numPr>
      </w:pPr>
      <w:r>
        <w:t xml:space="preserve">Mantener trazabilidad completa (logs_acciones) de cada cambio de estado y decisión.</w:t>
      </w:r>
    </w:p>
    <w:p>
      <w:pPr>
        <w:pStyle w:val="Heading2"/>
      </w:pPr>
      <w:r>
        <w:t xml:space="preserve">2.3 Fuera de alcance (de este PRD)</w:t>
      </w:r>
    </w:p>
    <w:p>
      <w:pPr>
        <w:pStyle w:val="ListParagraph"/>
        <w:numPr>
          <w:ilvl w:val="0"/>
          <w:numId w:val="2"/>
        </w:numPr>
      </w:pPr>
      <w:r>
        <w:t xml:space="preserve">Vista cliente / portal del cliente final.</w:t>
      </w:r>
    </w:p>
    <w:p>
      <w:pPr>
        <w:pStyle w:val="ListParagraph"/>
        <w:numPr>
          <w:ilvl w:val="0"/>
          <w:numId w:val="2"/>
        </w:numPr>
      </w:pPr>
      <w:r>
        <w:t xml:space="preserve">Integración con sistemas externos de PEP/listas (queda como input).</w:t>
      </w:r>
    </w:p>
    <w:p>
      <w:pPr>
        <w:pStyle w:val="ListParagraph"/>
        <w:numPr>
          <w:ilvl w:val="0"/>
          <w:numId w:val="2"/>
        </w:numPr>
      </w:pPr>
      <w:r>
        <w:t xml:space="preserve">Reportes regulatorios (ROS, RFI), gestionados en otro PRD.</w:t>
      </w:r>
    </w:p>
    <w:p>
      <w:pPr>
        <w:pStyle w:val="ListParagraph"/>
        <w:numPr>
          <w:ilvl w:val="0"/>
          <w:numId w:val="2"/>
        </w:numPr>
      </w:pPr>
      <w:r>
        <w:t xml:space="preserve">Operaciones inusuales / monitoreo transaccional.</w:t>
      </w:r>
    </w:p>
    <w:p>
      <w:pPr>
        <w:pStyle w:val="ListParagraph"/>
        <w:numPr>
          <w:ilvl w:val="0"/>
          <w:numId w:val="2"/>
        </w:numPr>
      </w:pPr>
      <w:r>
        <w:t xml:space="preserve">Asignación de CVU: proyecto separado. Este PRD termina cuando el alta queda en estado “aceptada” (PF) o cuando todas las firmas están completas (PJ); el flujo de generación del CVU se dispara después y se gestiona en otro PRD.</w:t>
      </w:r>
    </w:p>
    <w:p>
      <w:pPr>
        <w:pStyle w:val="ListParagraph"/>
        <w:numPr>
          <w:ilvl w:val="0"/>
          <w:numId w:val="2"/>
        </w:numPr>
      </w:pPr>
      <w:r>
        <w:t xml:space="preserve">Conexión técnica con 4iDigital: integración y proyecto separado (PRD existente, ongoing). Este PRD trabaja con los datos ya validados por 4i.</w:t>
      </w:r>
    </w:p>
    <w:p>
      <w:pPr>
        <w:pStyle w:val="ListParagraph"/>
        <w:numPr>
          <w:ilvl w:val="0"/>
          <w:numId w:val="2"/>
        </w:numPr>
      </w:pPr>
      <w:r>
        <w:t xml:space="preserve">Conexión técnica con Signatura: detalle en 03_signatura_conexion.md. Este PRD describe cómo Compliance interactúa con el flujo de firmas, no la integración de bajo nivel.</w:t>
      </w:r>
    </w:p>
    <w:p>
      <w:pPr>
        <w:pStyle w:val="ListParagraph"/>
        <w:numPr>
          <w:ilvl w:val="0"/>
          <w:numId w:val="2"/>
        </w:numPr>
      </w:pPr>
      <w:r>
        <w:t xml:space="preserve">Re-screening periódico post-alta: a definir en etapas posteriores.</w:t>
      </w:r>
    </w:p>
    <w:p>
      <w:pPr>
        <w:pStyle w:val="ListParagraph"/>
        <w:numPr>
          <w:ilvl w:val="0"/>
          <w:numId w:val="2"/>
        </w:numPr>
      </w:pPr>
      <w:r>
        <w:t xml:space="preserve">Proceso de apelación de rechazo: no contemplado en V1 (alineado con PRD client-facing).</w:t>
      </w:r>
    </w:p>
    <w:p>
      <w:r>
        <w:br w:type="page"/>
      </w:r>
    </w:p>
    <w:p>
      <w:pPr>
        <w:pStyle w:val="Heading1"/>
      </w:pPr>
      <w:r>
        <w:t xml:space="preserve">3. Flujo end-to-end</w:t>
      </w:r>
    </w:p>
    <w:p>
      <w:pPr>
        <w:spacing w:after="120"/>
      </w:pPr>
      <w:r>
        <w:t xml:space="preserve">El alta consta de 4 pasos secuenciales en el back-office, más un cierre por firmas (solo PJ) que vive entre Compliance y Signatura. El trigger es el envío de la solicitud por parte del cliente desde su front.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600"/>
      </w:tblGrid>
      <w:tr>
        <w:tc>
          <w:tcPr>
            <w:tcW w:type="dxa" w:w="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Paso</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Nombre</w:t>
            </w:r>
          </w:p>
        </w:tc>
        <w:tc>
          <w:tcPr>
            <w:tcW w:type="dxa" w:w="5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Foco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Trigger</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cliente completa el formulario, carga la documentación requerida, acepta T&amp;C y envía la solicitud desde su front. Recién al enviársela el sistema crea el alta en estado “pendiente” (el cliente ve “En revisión”).</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Verificación documental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admin ve la lista de altas pendientes, abre cada una, previsualiza cada documento y decide aceptar / rechazar / observar por documento.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de datos</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Vista combinada con: documento (lectura) + form de datos específicos del documento + datos de las personas vinculadas.</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Asignación de riesgo</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sistema calcula la matriz (sociedad o persona) y asigna nivel bajo / medio / alto.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Alta final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Resumen consolidado, validación final, edición de cualquier paso anterior, aprobación / rechazo / generación de CVU.</w:t>
            </w:r>
          </w:p>
        </w:tc>
      </w:tr>
    </w:tbl>
    <w:p>
      <w:pPr>
        <w:spacing w:after="80"/>
      </w:pPr>
      <w:r>
        <w:t xml:space="preserve"/>
      </w:r>
    </w:p>
    <w:p>
      <w:r>
        <w:br w:type="page"/>
      </w:r>
    </w:p>
    <w:p>
      <w:pPr>
        <w:pStyle w:val="Heading1"/>
      </w:pPr>
      <w:r>
        <w:t xml:space="preserve">4. Requisitos funcionales — Historias de Usuario</w:t>
      </w:r>
    </w:p>
    <w:p>
      <w:pPr>
        <w:pStyle w:val="Heading2"/>
      </w:pPr>
      <w:r>
        <w:t xml:space="preserve">4.1 Paso 1 — Verificación de la documentación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Listado de altas pendientes de revisión</w:t>
            </w:r>
          </w:p>
        </w:tc>
      </w:tr>
    </w:tbl>
    <w:p>
      <w:pPr>
        <w:spacing w:after="80" w:before="120"/>
      </w:pPr>
      <w:r>
        <w:rPr>
          <w:b/>
          <w:bCs/>
          <w:color w:val="5B5B5B"/>
        </w:rPr>
        <w:t xml:space="preserve">Contexto: </w:t>
      </w:r>
      <w:r>
        <w:rPr>
          <w:i/>
          <w:iCs/>
        </w:rPr>
        <w:t xml:space="preserve">Cuando un cliente envía su solicitud desde el front (formulario completo + documentación cargada + T&amp;C aceptados), el sistema crea automáticamente un alta en estado “pendiente” (lo que el cliente ve como “En revisión”). El administrador necesita una bandeja con todas esas altas para empezar a procesarlas.</w:t>
      </w:r>
    </w:p>
    <w:p>
      <w:pPr>
        <w:spacing w:after="40" w:before="120"/>
      </w:pPr>
      <w:r>
        <w:rPr>
          <w:b/>
          <w:bCs/>
        </w:rPr>
        <w:t xml:space="preserve">Como </w:t>
      </w:r>
      <w:r>
        <w:t xml:space="preserve">administrador (oficial de cumplimiento o analista)</w:t>
      </w:r>
    </w:p>
    <w:p>
      <w:pPr>
        <w:spacing w:after="40"/>
      </w:pPr>
      <w:r>
        <w:rPr>
          <w:b/>
          <w:bCs/>
        </w:rPr>
        <w:t xml:space="preserve">Quiero </w:t>
      </w:r>
      <w:r>
        <w:t xml:space="preserve">ver un listado de todas las altas pendientes de revisión</w:t>
      </w:r>
    </w:p>
    <w:p>
      <w:pPr>
        <w:spacing w:after="120"/>
      </w:pPr>
      <w:r>
        <w:rPr>
          <w:b/>
          <w:bCs/>
        </w:rPr>
        <w:t xml:space="preserve">Para </w:t>
      </w:r>
      <w:r>
        <w:t xml:space="preserve">priorizar mi trabajo y empezar a revisar las que están listas</w:t>
      </w:r>
    </w:p>
    <w:p>
      <w:pPr>
        <w:spacing w:after="60"/>
      </w:pPr>
      <w:r>
        <w:rPr>
          <w:b/>
          <w:bCs/>
        </w:rPr>
        <w:t xml:space="preserve">Criterios de aceptación:</w:t>
      </w:r>
    </w:p>
    <w:p>
      <w:pPr>
        <w:pStyle w:val="ListParagraph"/>
        <w:numPr>
          <w:ilvl w:val="0"/>
          <w:numId w:val="2"/>
        </w:numPr>
      </w:pPr>
      <w:r>
        <w:t xml:space="preserve">La vista resumida muestra para cada alta:</w:t>
      </w:r>
    </w:p>
    <w:p>
      <w:pPr>
        <w:pStyle w:val="ListParagraph"/>
        <w:numPr>
          <w:ilvl w:val="1"/>
          <w:numId w:val="2"/>
        </w:numPr>
      </w:pPr>
      <w:r>
        <w:t xml:space="preserve">Razón social (o apellido y nombre si es persona humana).</w:t>
      </w:r>
    </w:p>
    <w:p>
      <w:pPr>
        <w:pStyle w:val="ListParagraph"/>
        <w:numPr>
          <w:ilvl w:val="1"/>
          <w:numId w:val="2"/>
        </w:numPr>
      </w:pPr>
      <w:r>
        <w:t xml:space="preserve">CUIT / CUIL.</w:t>
      </w:r>
    </w:p>
    <w:p>
      <w:pPr>
        <w:pStyle w:val="ListParagraph"/>
        <w:numPr>
          <w:ilvl w:val="1"/>
          <w:numId w:val="2"/>
        </w:numPr>
      </w:pPr>
      <w:r>
        <w:t xml:space="preserve">Cantidad de documentos cargados (total y cuántos quedan por revisar).</w:t>
      </w:r>
    </w:p>
    <w:p>
      <w:pPr>
        <w:pStyle w:val="ListParagraph"/>
        <w:numPr>
          <w:ilvl w:val="1"/>
          <w:numId w:val="2"/>
        </w:numPr>
      </w:pPr>
      <w:r>
        <w:t xml:space="preserve">Fecha del alta (fecha en que el cliente envió la solicitud desde el front).</w:t>
      </w:r>
    </w:p>
    <w:p>
      <w:pPr>
        <w:pStyle w:val="ListParagraph"/>
        <w:numPr>
          <w:ilvl w:val="0"/>
          <w:numId w:val="2"/>
        </w:numPr>
      </w:pPr>
      <w:r>
        <w:t xml:space="preserve">El listado se filtra por estado por defecto en 'pendiente' y se puede ordenar por fecha de alta.</w:t>
      </w:r>
    </w:p>
    <w:p>
      <w:pPr>
        <w:pStyle w:val="ListParagraph"/>
        <w:numPr>
          <w:ilvl w:val="0"/>
          <w:numId w:val="2"/>
        </w:numPr>
      </w:pPr>
      <w:r>
        <w:t xml:space="preserve">Cada fila tiene un acceso para abrir la revisión documental del cliente.</w:t>
      </w:r>
    </w:p>
    <w:p>
      <w:pPr>
        <w:pStyle w:val="ListParagraph"/>
        <w:numPr>
          <w:ilvl w:val="0"/>
          <w:numId w:val="2"/>
        </w:numPr>
      </w:pPr>
      <w:r>
        <w:t xml:space="preserve">Si no hay altas pendientes, mostrar un empty state claro.</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Revisión documental por cliente</w:t>
            </w:r>
          </w:p>
        </w:tc>
      </w:tr>
    </w:tbl>
    <w:p>
      <w:pPr>
        <w:spacing w:after="80" w:before="120"/>
      </w:pPr>
      <w:r>
        <w:rPr>
          <w:b/>
          <w:bCs/>
          <w:color w:val="5B5B5B"/>
        </w:rPr>
        <w:t xml:space="preserve">Contexto: </w:t>
      </w:r>
      <w:r>
        <w:rPr>
          <w:i/>
          <w:iCs/>
        </w:rPr>
        <w:t xml:space="preserve">Al abrir un alta pendiente, el administrador entra a una vista donde puede recorrer cada documento que el cliente cargó, verlo en pantalla y decidir.</w:t>
      </w:r>
    </w:p>
    <w:p>
      <w:pPr>
        <w:spacing w:after="40" w:before="120"/>
      </w:pPr>
      <w:r>
        <w:rPr>
          <w:b/>
          <w:bCs/>
        </w:rPr>
        <w:t xml:space="preserve">Como </w:t>
      </w:r>
      <w:r>
        <w:t xml:space="preserve">administrador</w:t>
      </w:r>
    </w:p>
    <w:p>
      <w:pPr>
        <w:spacing w:after="40"/>
      </w:pPr>
      <w:r>
        <w:rPr>
          <w:b/>
          <w:bCs/>
        </w:rPr>
        <w:t xml:space="preserve">Quiero </w:t>
      </w:r>
      <w:r>
        <w:t xml:space="preserve">tener un desplegable con los documentos cargados, previsualizarlos y aceptar o rechazar uno por uno</w:t>
      </w:r>
    </w:p>
    <w:p>
      <w:pPr>
        <w:spacing w:after="120"/>
      </w:pPr>
      <w:r>
        <w:rPr>
          <w:b/>
          <w:bCs/>
        </w:rPr>
        <w:t xml:space="preserve">Para </w:t>
      </w:r>
      <w:r>
        <w:t xml:space="preserve">registrar la decisión por documento con su motivo si corresponde</w:t>
      </w:r>
    </w:p>
    <w:p>
      <w:pPr>
        <w:spacing w:after="60"/>
      </w:pPr>
      <w:r>
        <w:rPr>
          <w:b/>
          <w:bCs/>
        </w:rPr>
        <w:t xml:space="preserve">Criterios de aceptación:</w:t>
      </w:r>
    </w:p>
    <w:p>
      <w:pPr>
        <w:pStyle w:val="ListParagraph"/>
        <w:numPr>
          <w:ilvl w:val="0"/>
          <w:numId w:val="2"/>
        </w:numPr>
      </w:pPr>
      <w:r>
        <w:t xml:space="preserve">Desplegable de documentos a revisar:</w:t>
      </w:r>
    </w:p>
    <w:p>
      <w:pPr>
        <w:pStyle w:val="ListParagraph"/>
        <w:numPr>
          <w:ilvl w:val="1"/>
          <w:numId w:val="2"/>
        </w:numPr>
      </w:pPr>
      <w:r>
        <w:t xml:space="preserve">Lista cada documento que el cliente cargó (slot + versión activa).</w:t>
      </w:r>
    </w:p>
    <w:p>
      <w:pPr>
        <w:pStyle w:val="ListParagraph"/>
        <w:numPr>
          <w:ilvl w:val="1"/>
          <w:numId w:val="2"/>
        </w:numPr>
      </w:pPr>
      <w:r>
        <w:t xml:space="preserve">Indica el tipo de documento que estoy viendo en cada momento (nombre y categoría).</w:t>
      </w:r>
    </w:p>
    <w:p>
      <w:pPr>
        <w:pStyle w:val="ListParagraph"/>
        <w:numPr>
          <w:ilvl w:val="1"/>
          <w:numId w:val="2"/>
        </w:numPr>
      </w:pPr>
      <w:r>
        <w:t xml:space="preserve">Permite cambiar al siguiente documento sin perder el contexto.</w:t>
      </w:r>
    </w:p>
    <w:p>
      <w:pPr>
        <w:pStyle w:val="ListParagraph"/>
        <w:numPr>
          <w:ilvl w:val="0"/>
          <w:numId w:val="2"/>
        </w:numPr>
      </w:pPr>
      <w:r>
        <w:t xml:space="preserve">Vista previa del documento:</w:t>
      </w:r>
    </w:p>
    <w:p>
      <w:pPr>
        <w:pStyle w:val="ListParagraph"/>
        <w:numPr>
          <w:ilvl w:val="1"/>
          <w:numId w:val="2"/>
        </w:numPr>
      </w:pPr>
      <w:r>
        <w:t xml:space="preserve">Renderiza PDFs e imágenes embebidos en la pantalla (no obliga a descargar).</w:t>
      </w:r>
    </w:p>
    <w:p>
      <w:pPr>
        <w:pStyle w:val="ListParagraph"/>
        <w:numPr>
          <w:ilvl w:val="1"/>
          <w:numId w:val="2"/>
        </w:numPr>
      </w:pPr>
      <w:r>
        <w:t xml:space="preserve">Permite zoom y paginado básico.</w:t>
      </w:r>
    </w:p>
    <w:p>
      <w:pPr>
        <w:pStyle w:val="ListParagraph"/>
        <w:numPr>
          <w:ilvl w:val="0"/>
          <w:numId w:val="2"/>
        </w:numPr>
      </w:pPr>
      <w:r>
        <w:t xml:space="preserve">Decisión por documento:</w:t>
      </w:r>
    </w:p>
    <w:p>
      <w:pPr>
        <w:pStyle w:val="ListParagraph"/>
        <w:numPr>
          <w:ilvl w:val="1"/>
          <w:numId w:val="2"/>
        </w:numPr>
      </w:pPr>
      <w:r>
        <w:t xml:space="preserve">Botones explícitos: Aceptar / Rechazar / Observar.</w:t>
      </w:r>
    </w:p>
    <w:p>
      <w:pPr>
        <w:pStyle w:val="ListParagraph"/>
        <w:numPr>
          <w:ilvl w:val="1"/>
          <w:numId w:val="2"/>
        </w:numPr>
      </w:pPr>
      <w:r>
        <w:t xml:space="preserve">En 'Rechazar': el motivo es obligatorio y se guarda en motivo_rechazo de documentos_versiones.</w:t>
      </w:r>
    </w:p>
    <w:p>
      <w:pPr>
        <w:pStyle w:val="ListParagraph"/>
        <w:numPr>
          <w:ilvl w:val="1"/>
          <w:numId w:val="2"/>
        </w:numPr>
      </w:pPr>
      <w:r>
        <w:t xml:space="preserve">En 'Observar': se guarda observaciones (texto libre).</w:t>
      </w:r>
    </w:p>
    <w:p>
      <w:pPr>
        <w:pStyle w:val="ListParagraph"/>
        <w:numPr>
          <w:ilvl w:val="1"/>
          <w:numId w:val="2"/>
        </w:numPr>
      </w:pPr>
      <w:r>
        <w:t xml:space="preserve">Cada decisión queda registrada en logs_acciones con tipo_accion correspondiente (documento_aprobado / _rechazado / _observado) y el id del usuario que decidió.</w:t>
      </w:r>
    </w:p>
    <w:p>
      <w:pPr>
        <w:pStyle w:val="ListParagraph"/>
        <w:numPr>
          <w:ilvl w:val="0"/>
          <w:numId w:val="2"/>
        </w:numPr>
      </w:pPr>
      <w:r>
        <w:t xml:space="preserve">Cada documento tiene su status pill visible (pendiente / aprobado / rechazado / observado) y se actualiza al instante luego de la decisión.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Avanzar al siguiente paso sin tener todos los documentos aceptados</w:t>
            </w:r>
          </w:p>
        </w:tc>
      </w:tr>
    </w:tbl>
    <w:p>
      <w:pPr>
        <w:spacing w:after="80" w:before="120"/>
      </w:pPr>
      <w:r>
        <w:rPr>
          <w:b/>
          <w:bCs/>
          <w:color w:val="5B5B5B"/>
        </w:rPr>
        <w:t xml:space="preserve">Contexto: </w:t>
      </w:r>
      <w:r>
        <w:rPr>
          <w:i/>
          <w:iCs/>
        </w:rPr>
        <w:t xml:space="preserve">En la práctica, no siempre todos los documentos pueden aprobarse en la primera revisión. El admin necesita la posibilidad de avanzar al paso 2 dejando documentos pendientes / rechazados / observados, manteniendo la trazabilidad.</w:t>
      </w:r>
    </w:p>
    <w:p>
      <w:pPr>
        <w:spacing w:after="40" w:before="120"/>
      </w:pPr>
      <w:r>
        <w:rPr>
          <w:b/>
          <w:bCs/>
        </w:rPr>
        <w:t xml:space="preserve">Como </w:t>
      </w:r>
      <w:r>
        <w:t xml:space="preserve">administrador</w:t>
      </w:r>
    </w:p>
    <w:p>
      <w:pPr>
        <w:spacing w:after="40"/>
      </w:pPr>
      <w:r>
        <w:rPr>
          <w:b/>
          <w:bCs/>
        </w:rPr>
        <w:t xml:space="preserve">Quiero </w:t>
      </w:r>
      <w:r>
        <w:t xml:space="preserve">poder pasar al siguiente paso del flujo sin tener todos los documentos aceptados</w:t>
      </w:r>
    </w:p>
    <w:p>
      <w:pPr>
        <w:spacing w:after="120"/>
      </w:pPr>
      <w:r>
        <w:rPr>
          <w:b/>
          <w:bCs/>
        </w:rPr>
        <w:t xml:space="preserve">Para </w:t>
      </w:r>
      <w:r>
        <w:t xml:space="preserve">no bloquear el avance del expediente y poder volver a revisar la documentación más tarde</w:t>
      </w:r>
    </w:p>
    <w:p>
      <w:pPr>
        <w:spacing w:after="60"/>
      </w:pPr>
      <w:r>
        <w:rPr>
          <w:b/>
          <w:bCs/>
        </w:rPr>
        <w:t xml:space="preserve">Criterios de aceptación:</w:t>
      </w:r>
    </w:p>
    <w:p>
      <w:pPr>
        <w:pStyle w:val="ListParagraph"/>
        <w:numPr>
          <w:ilvl w:val="0"/>
          <w:numId w:val="2"/>
        </w:numPr>
      </w:pPr>
      <w:r>
        <w:t xml:space="preserve">El sistema explicita el estado de cada documento al intentar avanzar:</w:t>
      </w:r>
    </w:p>
    <w:p>
      <w:pPr>
        <w:pStyle w:val="ListParagraph"/>
        <w:numPr>
          <w:ilvl w:val="1"/>
          <w:numId w:val="2"/>
        </w:numPr>
      </w:pPr>
      <w:r>
        <w:t xml:space="preserve">Pendiente (sin revisar): el documento todavía no fue evaluado.</w:t>
      </w:r>
    </w:p>
    <w:p>
      <w:pPr>
        <w:pStyle w:val="ListParagraph"/>
        <w:numPr>
          <w:ilvl w:val="1"/>
          <w:numId w:val="2"/>
        </w:numPr>
      </w:pPr>
      <w:r>
        <w:t xml:space="preserve">Aprobado: revisión OK; pasa a ser versión activa del slot.</w:t>
      </w:r>
    </w:p>
    <w:p>
      <w:pPr>
        <w:pStyle w:val="ListParagraph"/>
        <w:numPr>
          <w:ilvl w:val="1"/>
          <w:numId w:val="2"/>
        </w:numPr>
      </w:pPr>
      <w:r>
        <w:t xml:space="preserve">Rechazado: el cliente debe volver a presentarlo (con motivo registrado).</w:t>
      </w:r>
    </w:p>
    <w:p>
      <w:pPr>
        <w:pStyle w:val="ListParagraph"/>
        <w:numPr>
          <w:ilvl w:val="1"/>
          <w:numId w:val="2"/>
        </w:numPr>
      </w:pPr>
      <w:r>
        <w:t xml:space="preserve">Observado: hay observaciones, pero no es un rechazo definitivo.</w:t>
      </w:r>
    </w:p>
    <w:p>
      <w:pPr>
        <w:pStyle w:val="ListParagraph"/>
        <w:numPr>
          <w:ilvl w:val="0"/>
          <w:numId w:val="2"/>
        </w:numPr>
      </w:pPr>
      <w:r>
        <w:t xml:space="preserve">Decisiones disponibles al intentar avanzar con documentación incompleta:</w:t>
      </w:r>
    </w:p>
    <w:p>
      <w:pPr>
        <w:pStyle w:val="ListParagraph"/>
        <w:numPr>
          <w:ilvl w:val="1"/>
          <w:numId w:val="2"/>
        </w:numPr>
      </w:pPr>
      <w:r>
        <w:t xml:space="preserve">Avanzar normal: si todos los obligatorios están aprobados.</w:t>
      </w:r>
    </w:p>
    <w:p>
      <w:pPr>
        <w:pStyle w:val="ListParagraph"/>
        <w:numPr>
          <w:ilvl w:val="1"/>
          <w:numId w:val="2"/>
        </w:numPr>
      </w:pPr>
      <w:r>
        <w:t xml:space="preserve">Avanzar con excepción: el oficial deja constancia explícita de por qué se avanza con docs faltantes (motivo obligatorio); queda registrado como 'alta_excepcion_docs'.</w:t>
      </w:r>
    </w:p>
    <w:p>
      <w:pPr>
        <w:pStyle w:val="ListParagraph"/>
        <w:numPr>
          <w:ilvl w:val="1"/>
          <w:numId w:val="2"/>
        </w:numPr>
      </w:pPr>
      <w:r>
        <w:t xml:space="preserve">Bloquear avance: si hay documentos rechazados sin re-presentar y la política interna lo prohíbe (a definir por configuración).</w:t>
      </w:r>
    </w:p>
    <w:p>
      <w:pPr>
        <w:pStyle w:val="ListParagraph"/>
        <w:numPr>
          <w:ilvl w:val="0"/>
          <w:numId w:val="2"/>
        </w:numPr>
      </w:pPr>
      <w:r>
        <w:t xml:space="preserve">Si hay documentos en 'pendiente' al intentar avanzar, mostrar advertencia con la lista exacta de cuáles quedaron sin revisar.</w:t>
      </w:r>
    </w:p>
    <w:p>
      <w:pPr>
        <w:pStyle w:val="ListParagraph"/>
        <w:numPr>
          <w:ilvl w:val="0"/>
          <w:numId w:val="2"/>
        </w:numPr>
      </w:pPr>
      <w:r>
        <w:t xml:space="preserve">El paso 1 puede 'cerrarse' aún con observados o rechazados; eso queda visible en el resumen final del paso 4.</w:t>
      </w:r>
    </w:p>
    <w:p>
      <w:pPr>
        <w:spacing w:after="80"/>
      </w:pPr>
      <w:r>
        <w:t xml:space="preserve"/>
      </w:r>
    </w:p>
    <w:p>
      <w:r>
        <w:br w:type="page"/>
      </w:r>
    </w:p>
    <w:p>
      <w:pPr>
        <w:pStyle w:val="Heading2"/>
      </w:pPr>
      <w:r>
        <w:t xml:space="preserve">4.2 Paso 2 — Carga de datos de sociedad y personas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combinada documento + datos del documento + personas</w:t>
            </w:r>
          </w:p>
        </w:tc>
      </w:tr>
    </w:tbl>
    <w:p>
      <w:pPr>
        <w:spacing w:after="80" w:before="120"/>
      </w:pPr>
      <w:r>
        <w:rPr>
          <w:b/>
          <w:bCs/>
          <w:color w:val="5B5B5B"/>
        </w:rPr>
        <w:t xml:space="preserve">Contexto: </w:t>
      </w:r>
      <w:r>
        <w:rPr>
          <w:i/>
          <w:iCs/>
        </w:rPr>
        <w:t xml:space="preserve">Al pasar al paso 2, el admin debe completar la información estructurada que se extrae de cada documento y la información de las personas vinculadas. Para no perder contexto, la vista mantiene el documento accesible en pantalla mientras se cargan los datos.</w:t>
      </w:r>
    </w:p>
    <w:p>
      <w:pPr>
        <w:spacing w:after="40" w:before="120"/>
      </w:pPr>
      <w:r>
        <w:rPr>
          <w:b/>
          <w:bCs/>
        </w:rPr>
        <w:t xml:space="preserve">Como </w:t>
      </w:r>
      <w:r>
        <w:t xml:space="preserve">administrativo</w:t>
      </w:r>
    </w:p>
    <w:p>
      <w:pPr>
        <w:spacing w:after="40"/>
      </w:pPr>
      <w:r>
        <w:rPr>
          <w:b/>
          <w:bCs/>
        </w:rPr>
        <w:t xml:space="preserve">Quiero </w:t>
      </w:r>
      <w:r>
        <w:t xml:space="preserve">que al pasar al paso de revisión de datos tenga en una misma pantalla: una vista del documento, un apartado para completar la información específica del documento y un apartado para completar la información de las personas</w:t>
      </w:r>
    </w:p>
    <w:p>
      <w:pPr>
        <w:spacing w:after="120"/>
      </w:pPr>
      <w:r>
        <w:rPr>
          <w:b/>
          <w:bCs/>
        </w:rPr>
        <w:t xml:space="preserve">Para </w:t>
      </w:r>
      <w:r>
        <w:t xml:space="preserve">cargar los datos sin tener que cambiar de pantalla y manteniendo trazabilidad con la fuente</w:t>
      </w:r>
    </w:p>
    <w:p>
      <w:pPr>
        <w:spacing w:after="60"/>
      </w:pPr>
      <w:r>
        <w:rPr>
          <w:b/>
          <w:bCs/>
        </w:rPr>
        <w:t xml:space="preserve">Criterios de aceptación:</w:t>
      </w:r>
    </w:p>
    <w:p>
      <w:pPr>
        <w:pStyle w:val="ListParagraph"/>
        <w:numPr>
          <w:ilvl w:val="0"/>
          <w:numId w:val="2"/>
        </w:numPr>
      </w:pPr>
      <w:r>
        <w:t xml:space="preserve">Layout de la pantalla del paso 2 (3 zonas):</w:t>
      </w:r>
    </w:p>
    <w:p>
      <w:pPr>
        <w:pStyle w:val="ListParagraph"/>
        <w:numPr>
          <w:ilvl w:val="1"/>
          <w:numId w:val="2"/>
        </w:numPr>
      </w:pPr>
      <w:r>
        <w:t xml:space="preserve">Zona izquierda: visor del documento seleccionado (igual que en H1.1).</w:t>
      </w:r>
    </w:p>
    <w:p>
      <w:pPr>
        <w:pStyle w:val="ListParagraph"/>
        <w:numPr>
          <w:ilvl w:val="1"/>
          <w:numId w:val="2"/>
        </w:numPr>
      </w:pPr>
      <w:r>
        <w:t xml:space="preserve">Zona derecha superior: formulario con los campos específicos del tipo de documento.</w:t>
      </w:r>
    </w:p>
    <w:p>
      <w:pPr>
        <w:pStyle w:val="ListParagraph"/>
        <w:numPr>
          <w:ilvl w:val="1"/>
          <w:numId w:val="2"/>
        </w:numPr>
      </w:pPr>
      <w:r>
        <w:t xml:space="preserve">Zona derecha inferior: panel de personas vinculadas a la sociedad.</w:t>
      </w:r>
    </w:p>
    <w:p>
      <w:pPr>
        <w:pStyle w:val="ListParagraph"/>
        <w:numPr>
          <w:ilvl w:val="0"/>
          <w:numId w:val="2"/>
        </w:numPr>
      </w:pPr>
      <w:r>
        <w:t xml:space="preserve">El selector de documento permite cambiar a otro documento sin perder el progreso del formulario actual (autosave o aviso de cambios sin guardar).</w:t>
      </w:r>
    </w:p>
    <w:p>
      <w:pPr>
        <w:pStyle w:val="ListParagraph"/>
        <w:numPr>
          <w:ilvl w:val="0"/>
          <w:numId w:val="2"/>
        </w:numPr>
      </w:pPr>
      <w:r>
        <w:t xml:space="preserve">Si el alta es de Persona Humana / PF (particular, profesional independiente, trabajador autónomo, monotributista o responsable inscripto), se oculta el panel de personas vinculadas (no aplica) y se muestran solo los campos del titular.</w:t>
      </w:r>
    </w:p>
    <w:p>
      <w:pPr>
        <w:pStyle w:val="ListParagraph"/>
        <w:numPr>
          <w:ilvl w:val="0"/>
          <w:numId w:val="2"/>
        </w:numPr>
      </w:pPr>
      <w:r>
        <w:t xml:space="preserve">Botón 'Guardar borrador' siempre visible (HU-04 del backend).</w:t>
      </w:r>
    </w:p>
    <w:p>
      <w:pPr>
        <w:pStyle w:val="ListParagraph"/>
        <w:numPr>
          <w:ilvl w:val="0"/>
          <w:numId w:val="2"/>
        </w:numPr>
      </w:pPr>
      <w:r>
        <w:t xml:space="preserve">El paso 2 se considera completable cuando todos los formularios obligatorios del tipo de entidad están con datos válidos.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Cargar la información específica de cada documento</w:t>
            </w:r>
          </w:p>
        </w:tc>
      </w:tr>
    </w:tbl>
    <w:p>
      <w:pPr>
        <w:spacing w:after="80" w:before="120"/>
      </w:pPr>
      <w:r>
        <w:rPr>
          <w:b/>
          <w:bCs/>
          <w:color w:val="5B5B5B"/>
        </w:rPr>
        <w:t xml:space="preserve">Contexto: </w:t>
      </w:r>
      <w:r>
        <w:rPr>
          <w:i/>
          <w:iCs/>
        </w:rPr>
        <w:t xml:space="preserve">cada tipo de documento tiene su propio set de campos estructurados que se completan en paralelo a la revisión visual del archivo. La fuente única de verdad es frontend/src/config/documentRequirements.js (constante DOCUMENT_REQUIREMENTS). Cuando el admin selecciona un documento desde el desplegable de la H1.1, se renderiza el formulario correspondiente. El reconocimiento OCR queda fuera del MVP.</w:t>
      </w:r>
    </w:p>
    <w:p>
      <w:pPr>
        <w:spacing w:after="40" w:before="120"/>
      </w:pPr>
      <w:r>
        <w:rPr>
          <w:b/>
          <w:bCs/>
        </w:rPr>
        <w:t xml:space="preserve">Como </w:t>
      </w:r>
      <w:r>
        <w:t xml:space="preserve">administrador</w:t>
      </w:r>
    </w:p>
    <w:p>
      <w:pPr>
        <w:spacing w:after="40"/>
      </w:pPr>
      <w:r>
        <w:rPr>
          <w:b/>
          <w:bCs/>
        </w:rPr>
        <w:t xml:space="preserve">Quiero </w:t>
      </w:r>
      <w:r>
        <w:t xml:space="preserve">cargar la información específica de cada tipo de documento en el formulario correspondiente</w:t>
      </w:r>
    </w:p>
    <w:p>
      <w:pPr>
        <w:spacing w:after="120"/>
      </w:pPr>
      <w:r>
        <w:rPr>
          <w:b/>
          <w:bCs/>
        </w:rPr>
        <w:t xml:space="preserve">Para </w:t>
      </w:r>
      <w:r>
        <w:t xml:space="preserve">tener la data estructurada en la base de compliance, no solo el archivo</w:t>
      </w:r>
    </w:p>
    <w:p>
      <w:pPr>
        <w:spacing w:after="80"/>
      </w:pPr>
      <w:r>
        <w:rPr>
          <w:b/>
          <w:bCs/>
        </w:rPr>
        <w:t xml:space="preserve">Criterios de aceptación:</w:t>
      </w:r>
    </w:p>
    <w:p>
      <w:pPr>
        <w:spacing w:after="60" w:before="160"/>
      </w:pPr>
      <w:r>
        <w:rPr>
          <w:b/>
          <w:bCs/>
          <w:color w:val="1F3864"/>
        </w:rPr>
        <w:t xml:space="preserve">1. Persona Humana / PF (particulares, profesionales independientes, trabajadores autónomos, monotributistas y responsables inscriptos)</w:t>
      </w:r>
    </w:p>
    <w:p>
      <w:pPr>
        <w:spacing w:after="120"/>
      </w:pPr>
      <w:r>
        <w:t xml:space="preserve">El alta de Persona Humana cubre cualquier titular individual que se da de alta en la PSP — no solo monotributista; también puede ser responsable inscripto, profesional independiente, trabajador autónomo o particular.</w:t>
      </w:r>
    </w:p>
    <w:p>
      <w:pPr>
        <w:spacing w:after="120"/>
      </w:pPr>
      <w:r>
        <w:rPr>
          <w:b/>
          <w:bCs/>
          <w:color w:val="C00000"/>
        </w:rPr>
        <w:t xml:space="preserve">Importante: </w:t>
      </w:r>
      <w:r>
        <w:t xml:space="preserve">a diferencia de Persona Jurídica, la Persona Humana / PF NO carga documentación desde el front. Toda la información llega al back-office como datos estructurados (extraídos por 4iDigital o declarados en el formulario del cliente). El admin solo confirma estos datos en el paso 2; no hay carga ni revisión de archivos para PH.</w:t>
      </w:r>
    </w:p>
    <w:p>
      <w:pPr>
        <w:spacing w:after="120"/>
      </w:pPr>
      <w:r>
        <w:t xml:space="preserve">Datos extraídos por 4iDigital (validación biométrica en el front del cliente):</w:t>
      </w:r>
    </w:p>
    <w:p>
      <w:pPr>
        <w:pStyle w:val="ListParagraph"/>
        <w:numPr>
          <w:ilvl w:val="0"/>
          <w:numId w:val="2"/>
        </w:numPr>
      </w:pPr>
      <w:r>
        <w:t xml:space="preserve">DNI Frente (datos provenientes de 4i, no se carga archivo): número de DNI, apellido, nombre, sexo, nacionalidad, fecha de nacimiento, ejemplar.</w:t>
      </w:r>
    </w:p>
    <w:p>
      <w:pPr>
        <w:pStyle w:val="ListParagraph"/>
        <w:numPr>
          <w:ilvl w:val="0"/>
          <w:numId w:val="2"/>
        </w:numPr>
      </w:pPr>
      <w:r>
        <w:t xml:space="preserve">DNI Dorso (datos provenientes de 4i, no se carga archivo): domicilio, fecha de emisión, fecha de vencimiento, número de trámite, ¿DNI vigente?</w:t>
      </w:r>
    </w:p>
    <w:p>
      <w:pPr>
        <w:spacing w:after="120"/>
      </w:pPr>
      <w:r>
        <w:t xml:space="preserve">Datos declarados por el cliente en su formulario:</w:t>
      </w:r>
    </w:p>
    <w:p>
      <w:pPr>
        <w:pStyle w:val="ListParagraph"/>
        <w:numPr>
          <w:ilvl w:val="0"/>
          <w:numId w:val="2"/>
        </w:numPr>
      </w:pPr>
      <w:r>
        <w:t xml:space="preserve">Ocupación (selección única del listado del front del cliente: empleado/a, monotributista, profesional independiente, responsable inscripto, etc.).</w:t>
      </w:r>
    </w:p>
    <w:p>
      <w:pPr>
        <w:pStyle w:val="ListParagraph"/>
        <w:numPr>
          <w:ilvl w:val="0"/>
          <w:numId w:val="2"/>
        </w:numPr>
      </w:pPr>
      <w:r>
        <w:t xml:space="preserve">Condición PEP (declaración Sí / No vía modal en el front del cliente — no se carga documento). Si el cliente declara PEP, el admin lo ve marcado en la pantalla del paso 2 para considerar en la matriz de riesgo.</w:t>
      </w:r>
    </w:p>
    <w:p>
      <w:pPr>
        <w:spacing w:after="60" w:before="160"/>
      </w:pPr>
      <w:r>
        <w:rPr>
          <w:b/>
          <w:bCs/>
          <w:color w:val="1F3864"/>
        </w:rPr>
        <w:t xml:space="preserve">2. SA — Sociedad Anónima</w:t>
      </w:r>
    </w:p>
    <w:p>
      <w:pPr>
        <w:spacing w:after="120"/>
      </w:pPr>
      <w:r>
        <w:t xml:space="preserve">Documentos obligatorios:</w:t>
      </w:r>
    </w:p>
    <w:p>
      <w:pPr>
        <w:pStyle w:val="ListParagraph"/>
        <w:numPr>
          <w:ilvl w:val="0"/>
          <w:numId w:val="2"/>
        </w:numPr>
      </w:pPr>
      <w:r>
        <w:t xml:space="preserve">Estatuto Social: tipo societario, denominación social, CUIT, fecha de constitución, domicilio social, duración de la sociedad, capital suscripto.</w:t>
      </w:r>
    </w:p>
    <w:p>
      <w:pPr>
        <w:pStyle w:val="ListParagraph"/>
        <w:numPr>
          <w:ilvl w:val="0"/>
          <w:numId w:val="2"/>
        </w:numPr>
      </w:pPr>
      <w:r>
        <w:t xml:space="preserve">Última Acta de Designación de Autoridades: ¿mandato vigente? (Sí / No / Próximo a vencer), fecha de la asamblea (inicio del mandato), fecha de fin del mandato. Las autoridades se cargan en sección Personas.</w:t>
      </w:r>
    </w:p>
    <w:p>
      <w:pPr>
        <w:pStyle w:val="ListParagraph"/>
        <w:numPr>
          <w:ilvl w:val="0"/>
          <w:numId w:val="2"/>
        </w:numPr>
      </w:pPr>
      <w:r>
        <w:t xml:space="preserve">Libro de Registro de Accionistas (última página): total de acciones emitidas, fecha de la última anotación. Los accionistas y beneficiarios finales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del ejercicio, monto de ventas netas (sin IVA), observaciones.</w:t>
      </w:r>
    </w:p>
    <w:p>
      <w:pPr>
        <w:spacing w:after="120"/>
      </w:pPr>
      <w:r>
        <w:t xml:space="preserve">Documento condicional:</w:t>
      </w:r>
    </w:p>
    <w:p>
      <w:pPr>
        <w:pStyle w:val="ListParagraph"/>
        <w:numPr>
          <w:ilvl w:val="0"/>
          <w:numId w:val="2"/>
        </w:numPr>
      </w:pPr>
      <w:r>
        <w:t xml:space="preserve">Poder General de Administración (obligatorio solo si la SA opera con apoderados): ¿poder verificado y vigente? (Sí / No / Pendiente revisar), observaciones del poder. Los datos del apoderado se cargan en sección Personas.</w:t>
      </w:r>
    </w:p>
    <w:p>
      <w:pPr>
        <w:spacing w:after="60" w:before="160"/>
      </w:pPr>
      <w:r>
        <w:rPr>
          <w:b/>
          <w:bCs/>
          <w:color w:val="1F3864"/>
        </w:rPr>
        <w:t xml:space="preserve">3. SRL — Sociedad de Responsabilidad Limitada</w:t>
      </w:r>
    </w:p>
    <w:p>
      <w:pPr>
        <w:spacing w:after="120"/>
      </w:pPr>
      <w:r>
        <w:t xml:space="preserve">Documentos obligatorios:</w:t>
      </w:r>
    </w:p>
    <w:p>
      <w:pPr>
        <w:pStyle w:val="ListParagraph"/>
        <w:numPr>
          <w:ilvl w:val="0"/>
          <w:numId w:val="2"/>
        </w:numPr>
      </w:pPr>
      <w:r>
        <w:t xml:space="preserve">Contrato Social: razón social, CUIT, fecha de constitución, domicilio (calle, número, piso, depto, localidad, provincia, código postal), plazo de duración, capital social. Los socios se cargan en sección Personas.</w:t>
      </w:r>
    </w:p>
    <w:p>
      <w:pPr>
        <w:pStyle w:val="ListParagraph"/>
        <w:numPr>
          <w:ilvl w:val="0"/>
          <w:numId w:val="2"/>
        </w:numPr>
      </w:pPr>
      <w:r>
        <w:t xml:space="preserve">Última Acta de Asamblea o Reunión de Socios: fecha de asamblea / reunión, ¿mandato vigente? (Sí / No), inicio del mandato, fin del mandato. Los gerentes se cargan en sección Personas como autoridades.</w:t>
      </w:r>
    </w:p>
    <w:p>
      <w:pPr>
        <w:pStyle w:val="ListParagraph"/>
        <w:numPr>
          <w:ilvl w:val="0"/>
          <w:numId w:val="2"/>
        </w:numPr>
      </w:pPr>
      <w:r>
        <w:t xml:space="preserve">Libro de Registro de Socios (última hoja): total de cuotas emitidas, fecha de la última anotación. Los socios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w:t>
      </w:r>
    </w:p>
    <w:p>
      <w:pPr>
        <w:pStyle w:val="ListParagraph"/>
        <w:numPr>
          <w:ilvl w:val="0"/>
          <w:numId w:val="2"/>
        </w:numPr>
      </w:pPr>
      <w:r>
        <w:t xml:space="preserve">Poder General de Administración (obligatorio solo si la SRL opera con apoderados): ¿poder verificado y vigente?, observaciones. Apoderado en sección Personas.</w:t>
      </w:r>
    </w:p>
    <w:p>
      <w:pPr>
        <w:spacing w:after="60" w:before="160"/>
      </w:pPr>
      <w:r>
        <w:rPr>
          <w:b/>
          <w:bCs/>
          <w:color w:val="1F3864"/>
        </w:rPr>
        <w:t xml:space="preserve">4. SH — Sociedad de Hecho</w:t>
      </w:r>
    </w:p>
    <w:p>
      <w:pPr>
        <w:spacing w:after="120"/>
      </w:pPr>
      <w:r>
        <w:t xml:space="preserve">Documentos obligatorios:</w:t>
      </w:r>
    </w:p>
    <w:p>
      <w:pPr>
        <w:pStyle w:val="ListParagraph"/>
        <w:numPr>
          <w:ilvl w:val="0"/>
          <w:numId w:val="2"/>
        </w:numPr>
      </w:pPr>
      <w:r>
        <w:t xml:space="preserve">Contrato Social Privado / Acuerdo de Constitución: denominación, tipo / figura (Sociedad de Hecho / Acuerdo Privado / Sociedad Irregular / Otro), fecha de constitución / firma del acuerdo, domicilio (calle, número, piso, depto, localidad, provincia, código postal), objeto / actividad, CUIT de la sociedad, duración, capital / aportes, reglas de distribución de utilidades / pérdidas, tipo de administración (no especificado / conjunta / indistinta), nombre de administradores / representantes, DNI/CUIT de administradores / representantes, facultades / alcance de representación. Los socios se cargan en sección Personas.</w:t>
      </w:r>
    </w:p>
    <w:p>
      <w:pPr>
        <w:pStyle w:val="ListParagraph"/>
        <w:numPr>
          <w:ilvl w:val="0"/>
          <w:numId w:val="2"/>
        </w:numPr>
      </w:pPr>
      <w:r>
        <w:t xml:space="preserve">DNI de todos los socios: un archivo por socio. Los datos personales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 (registro interno; no requerido por el front del cliente):</w:t>
      </w:r>
    </w:p>
    <w:p>
      <w:pPr>
        <w:pStyle w:val="ListParagraph"/>
        <w:numPr>
          <w:ilvl w:val="0"/>
          <w:numId w:val="2"/>
        </w:numPr>
      </w:pPr>
      <w:r>
        <w:t xml:space="preserve">DDJJ de Designación de Representante / Apoderado (obligatorio si el gestor no es el representante del contrato o si se otorgan facultades a un tercero): apellido y nombre del representante / apoderado, DNI / CUIT, domicilio, sociedad y CUIT que representa, carácter invocado (Representante / Apoderado / Representante y Apoderado / Otro), fecha de la DDJJ, facultades otorgadas, firma de los otorgantes (Presente / No presente), certificación de firma (Sí / No / No aplica).</w:t>
      </w:r>
    </w:p>
    <w:p>
      <w:pPr>
        <w:spacing w:after="60" w:before="160"/>
      </w:pPr>
      <w:r>
        <w:rPr>
          <w:b/>
          <w:bCs/>
          <w:color w:val="1F3864"/>
        </w:rPr>
        <w:t xml:space="preserve">5. Sucesión / Sucesión Indivisa</w:t>
      </w:r>
    </w:p>
    <w:p>
      <w:pPr>
        <w:spacing w:after="120"/>
      </w:pPr>
      <w:r>
        <w:t xml:space="preserve">Documentos obligatorios:</w:t>
      </w:r>
    </w:p>
    <w:p>
      <w:pPr>
        <w:pStyle w:val="ListParagraph"/>
        <w:numPr>
          <w:ilvl w:val="0"/>
          <w:numId w:val="2"/>
        </w:numPr>
      </w:pPr>
      <w:r>
        <w:t xml:space="preserve">Solicitud / Resolución de Declaratoria de Herederos — Datos de la sucesión: juzgado, nº de expediente, carátula, tipo (Ab intestato / Testamentaria), estado del trámite (En trámite / Declaratoria dictada / Firme).</w:t>
      </w:r>
    </w:p>
    <w:p>
      <w:pPr>
        <w:pStyle w:val="ListParagraph"/>
        <w:numPr>
          <w:ilvl w:val="0"/>
          <w:numId w:val="2"/>
        </w:numPr>
      </w:pPr>
      <w:r>
        <w:t xml:space="preserve">Solicitud / Resolución de Declaratoria de Herederos — Datos del causante: apellido, nombre, DNI, CUIT, fecha de fallecimiento. Los herederos se cargan en sección Personas.</w:t>
      </w:r>
    </w:p>
    <w:p>
      <w:pPr>
        <w:pStyle w:val="ListParagraph"/>
        <w:numPr>
          <w:ilvl w:val="0"/>
          <w:numId w:val="2"/>
        </w:numPr>
      </w:pPr>
      <w:r>
        <w:t xml:space="preserve">Ficha de Sucesión — Resumen Compliance: tipo de sucesión, nº de expediente, juzgado, estado del trámite, tipo de firma (Administrador único / Firma conjunta herederos), documento de respaldo (Declaratoria / Designación de Administrador / Ambos).</w:t>
      </w:r>
    </w:p>
    <w:p>
      <w:pPr>
        <w:pStyle w:val="ListParagraph"/>
        <w:numPr>
          <w:ilvl w:val="0"/>
          <w:numId w:val="2"/>
        </w:numPr>
      </w:pPr>
      <w:r>
        <w:t xml:space="preserve">DNI de cada heredero / administrador (repetible por persona): tipo de persona (Heredero / Administrador / Heredero y Administrador), número, apellido, nombre, sexo (M / F / X), nacionalidad, fecha de nacimiento, fecha de emisión, fecha de vencimiento, domicilio, ejemplar (A–F), nº de trámite, ¿coincide con declaratoria? (Sí / No / Parcialmente), ¿DNI vigente? (Sí / No / Próximo a vencer), observaciones, vínculo con el causante, ¿es firmante autorizado?</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Documentos condicionales / opcionales:</w:t>
      </w:r>
    </w:p>
    <w:p>
      <w:pPr>
        <w:pStyle w:val="ListParagraph"/>
        <w:numPr>
          <w:ilvl w:val="0"/>
          <w:numId w:val="2"/>
        </w:numPr>
      </w:pPr>
      <w:r>
        <w:t xml:space="preserve">Solicitud / Resolución de Designación de Administrador Judicial (solo si corresponde; si no hay administrador, firma conjunta de herederos). Bloques: A · Existencia (¿existe administrador?), B · Identificación (tipo, apellido, nombre, DNI, CUIT/CUIL, domicilio, relación con la sucesión), C · Designación y vigencia (juzgado, expediente, fecha de designación, estado, ¿aceptó el cargo?, fecha de aceptación), D · Facultades operativa PSP (¿administrar?, ¿firmar?, ¿cobrar/pagar?, ¿abrir/cerrar cuentas? — clave PSP, limitaciones). Regla PSP: administrador con facultad de firma → firmante único; sin administrador → firma conjunta de herederos.</w:t>
      </w:r>
    </w:p>
    <w:p>
      <w:pPr>
        <w:pStyle w:val="ListParagraph"/>
        <w:numPr>
          <w:ilvl w:val="0"/>
          <w:numId w:val="2"/>
        </w:numPr>
      </w:pPr>
      <w:r>
        <w:t xml:space="preserve">Solicitud a la Administración General de Justicia (opcional, solo si fue presentada): nº de expediente / oficio, fecha de presentación, estado (Presentado / En curso / Respondido / Archivado), observaciones.</w:t>
      </w:r>
    </w:p>
    <w:p>
      <w:pPr>
        <w:spacing w:after="60" w:before="160"/>
      </w:pPr>
      <w:r>
        <w:rPr>
          <w:b/>
          <w:bCs/>
          <w:color w:val="1F3864"/>
        </w:rPr>
        <w:t xml:space="preserve">6. Documentación condicional — Todas las sociedades (no aplica a Persona Humana)</w:t>
      </w:r>
    </w:p>
    <w:p>
      <w:pPr>
        <w:spacing w:after="120"/>
      </w:pPr>
      <w:r>
        <w:t xml:space="preserve">La Declaración Jurada de Beneficiarios Finales se carga como documento obligatorio en cada tipo societario (ver SA, SRL, SH, Sucesión más arriba), no en este apartado.</w:t>
      </w:r>
    </w:p>
    <w:p>
      <w:pPr>
        <w:pStyle w:val="ListParagraph"/>
        <w:numPr>
          <w:ilvl w:val="0"/>
          <w:numId w:val="2"/>
        </w:numPr>
      </w:pPr>
      <w:r>
        <w:t xml:space="preserve">Declaración Jurada PEP (condicional — obligatorio si algún socio, representante legal, administrador o beneficiario final está marcado como PEP en la sección Personas): fecha de la declaración, observaciones. Los PEP se marcan en sección Personas.</w:t>
      </w:r>
    </w:p>
    <w:p>
      <w:pPr>
        <w:pStyle w:val="ListParagraph"/>
        <w:numPr>
          <w:ilvl w:val="0"/>
          <w:numId w:val="2"/>
        </w:numPr>
      </w:pPr>
      <w:r>
        <w:t xml:space="preserve">Documentación del apoderado (condicional — obligatorio si la sociedad opera con apoderados): el poder propiamente dicho. Detalle del poder en la sección del tipo societario correspondiente.</w:t>
      </w:r>
    </w:p>
    <w:p>
      <w:pPr>
        <w:spacing w:after="60" w:before="160"/>
      </w:pPr>
      <w:r>
        <w:rPr>
          <w:b/>
          <w:bCs/>
          <w:color w:val="1F3864"/>
        </w:rPr>
        <w:t xml:space="preserve">7. Validaciones técnicas (transversales)</w:t>
      </w:r>
    </w:p>
    <w:p>
      <w:pPr>
        <w:pStyle w:val="ListParagraph"/>
        <w:numPr>
          <w:ilvl w:val="0"/>
          <w:numId w:val="2"/>
        </w:numPr>
      </w:pPr>
      <w:r>
        <w:t xml:space="preserve">CUIT con dígito verificador correcto.</w:t>
      </w:r>
    </w:p>
    <w:p>
      <w:pPr>
        <w:pStyle w:val="ListParagraph"/>
        <w:numPr>
          <w:ilvl w:val="0"/>
          <w:numId w:val="2"/>
        </w:numPr>
      </w:pPr>
      <w:r>
        <w:t xml:space="preserve">Fecha de constitución no puede ser futura.</w:t>
      </w:r>
    </w:p>
    <w:p>
      <w:pPr>
        <w:pStyle w:val="ListParagraph"/>
        <w:numPr>
          <w:ilvl w:val="0"/>
          <w:numId w:val="2"/>
        </w:numPr>
      </w:pPr>
      <w:r>
        <w:t xml:space="preserve">Fecha de fin de mandato &gt; fecha de inicio de mandato.</w:t>
      </w:r>
    </w:p>
    <w:p>
      <w:pPr>
        <w:pStyle w:val="ListParagraph"/>
        <w:numPr>
          <w:ilvl w:val="0"/>
          <w:numId w:val="2"/>
        </w:numPr>
      </w:pPr>
      <w:r>
        <w:t xml:space="preserve">Fecha de fallecimiento del causante &lt; fecha de declaratoria.</w:t>
      </w:r>
    </w:p>
    <w:p>
      <w:pPr>
        <w:pStyle w:val="ListParagraph"/>
        <w:numPr>
          <w:ilvl w:val="0"/>
          <w:numId w:val="2"/>
        </w:numPr>
      </w:pPr>
      <w:r>
        <w:t xml:space="preserve">Capital / monto &gt; 0.</w:t>
      </w:r>
    </w:p>
    <w:p>
      <w:pPr>
        <w:pStyle w:val="ListParagraph"/>
        <w:numPr>
          <w:ilvl w:val="0"/>
          <w:numId w:val="2"/>
        </w:numPr>
      </w:pPr>
      <w:r>
        <w:t xml:space="preserve">Fechas de emisión y vencimiento de DNI coherentes (vencimiento &gt; emisión).</w:t>
      </w:r>
    </w:p>
    <w:p>
      <w:pPr>
        <w:pStyle w:val="ListParagraph"/>
        <w:numPr>
          <w:ilvl w:val="0"/>
          <w:numId w:val="2"/>
        </w:numPr>
      </w:pPr>
      <w:r>
        <w:t xml:space="preserve">Si el CUIT del documento difiere del CUIT en sociedades_tag → advertencia (no bloqueante).</w:t>
      </w:r>
    </w:p>
    <w:p>
      <w:pPr>
        <w:spacing w:after="60" w:before="160"/>
      </w:pPr>
      <w:r>
        <w:rPr>
          <w:b/>
          <w:bCs/>
          <w:color w:val="1F3864"/>
        </w:rPr>
        <w:t xml:space="preserve">8. Definición de "form completo"</w:t>
      </w:r>
    </w:p>
    <w:p>
      <w:pPr>
        <w:pStyle w:val="ListParagraph"/>
        <w:numPr>
          <w:ilvl w:val="0"/>
          <w:numId w:val="2"/>
        </w:numPr>
      </w:pPr>
      <w:r>
        <w:t xml:space="preserve">Todos los campos marcados como obligatorios cargados.</w:t>
      </w:r>
    </w:p>
    <w:p>
      <w:pPr>
        <w:pStyle w:val="ListParagraph"/>
        <w:numPr>
          <w:ilvl w:val="0"/>
          <w:numId w:val="2"/>
        </w:numPr>
      </w:pPr>
      <w:r>
        <w:t xml:space="preserve">Todas las validaciones técnicas pasan.</w:t>
      </w:r>
    </w:p>
    <w:p>
      <w:pPr>
        <w:pStyle w:val="ListParagraph"/>
        <w:numPr>
          <w:ilvl w:val="0"/>
          <w:numId w:val="2"/>
        </w:numPr>
      </w:pPr>
      <w:r>
        <w:t xml:space="preserve">Todos los campos precargados por 4i confirmados por el admin (aplica a Persona Humana).</w:t>
      </w:r>
    </w:p>
    <w:p>
      <w:pPr>
        <w:pStyle w:val="ListParagraph"/>
        <w:numPr>
          <w:ilvl w:val="0"/>
          <w:numId w:val="2"/>
        </w:numPr>
      </w:pPr>
      <w:r>
        <w:t xml:space="preserve">Las personas referenciadas por el documento (autoridades, accionistas, socios, gerentes, herederos, apoderados, beneficiarios finales) están cargadas en sección Personas con los roles correspondientes.</w:t>
      </w:r>
    </w:p>
    <w:p>
      <w:pPr>
        <w:spacing w:after="60" w:before="160"/>
      </w:pPr>
      <w:r>
        <w:rPr>
          <w:b/>
          <w:bCs/>
          <w:color w:val="1F3864"/>
        </w:rPr>
        <w:t xml:space="preserve">9. Persistencia y trazabilidad</w:t>
      </w:r>
    </w:p>
    <w:p>
      <w:pPr>
        <w:pStyle w:val="ListParagraph"/>
        <w:numPr>
          <w:ilvl w:val="0"/>
          <w:numId w:val="2"/>
        </w:numPr>
      </w:pPr>
      <w:r>
        <w:t xml:space="preserve">Cada formulario se guarda contra documentos_versiones.id_version y/o en su tabla form_* correspondiente.</w:t>
      </w:r>
    </w:p>
    <w:p>
      <w:pPr>
        <w:pStyle w:val="ListParagraph"/>
        <w:numPr>
          <w:ilvl w:val="0"/>
          <w:numId w:val="2"/>
        </w:numPr>
      </w:pPr>
      <w:r>
        <w:t xml:space="preserve">Cambios en campos críticos (CUIT, denominación social, capital social, total acciones / cuotas) generan log de auditoría con valor anterior y nuevo.</w:t>
      </w:r>
    </w:p>
    <w:p>
      <w:pPr>
        <w:pStyle w:val="ListParagraph"/>
        <w:numPr>
          <w:ilvl w:val="0"/>
          <w:numId w:val="2"/>
        </w:numPr>
      </w:pPr>
      <w:r>
        <w:t xml:space="preserve">Los campos precargados por 4i quedan marcados internamente como "fuente: 4i" hasta que el admin los confirma o edita.</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Completar información de las personas vinculadas a la sociedad</w:t>
            </w:r>
          </w:p>
        </w:tc>
      </w:tr>
    </w:tbl>
    <w:p>
      <w:pPr>
        <w:spacing w:after="80" w:before="120"/>
      </w:pPr>
      <w:r>
        <w:rPr>
          <w:b/>
          <w:bCs/>
          <w:color w:val="5B5B5B"/>
        </w:rPr>
        <w:t xml:space="preserve">Contexto: </w:t>
      </w:r>
      <w:r>
        <w:rPr>
          <w:i/>
          <w:iCs/>
        </w:rPr>
        <w:t xml:space="preserve">Las personas vinculadas (socios, directores, autoridades, apoderados, beneficiarios finales, herederos) pueden venir parcialmente desde DCAC (sistema externo) y/o agregarse manualmente si son terceros que no son usuarios de DCAC.</w:t>
      </w:r>
    </w:p>
    <w:p>
      <w:pPr>
        <w:spacing w:after="40" w:before="120"/>
      </w:pPr>
      <w:r>
        <w:rPr>
          <w:b/>
          <w:bCs/>
        </w:rPr>
        <w:t xml:space="preserve">Como </w:t>
      </w:r>
      <w:r>
        <w:t xml:space="preserve">administrador</w:t>
      </w:r>
    </w:p>
    <w:p>
      <w:pPr>
        <w:spacing w:after="40"/>
      </w:pPr>
      <w:r>
        <w:rPr>
          <w:b/>
          <w:bCs/>
        </w:rPr>
        <w:t xml:space="preserve">Quiero </w:t>
      </w:r>
      <w:r>
        <w:t xml:space="preserve">completar la información particular de cada persona vinculada a la sociedad</w:t>
      </w:r>
    </w:p>
    <w:p>
      <w:pPr>
        <w:spacing w:after="120"/>
      </w:pPr>
      <w:r>
        <w:rPr>
          <w:b/>
          <w:bCs/>
        </w:rPr>
        <w:t xml:space="preserve">Para </w:t>
      </w:r>
      <w:r>
        <w:t xml:space="preserve">tener la estructura societaria real y la información requerida por la UIF</w:t>
      </w:r>
    </w:p>
    <w:p>
      <w:pPr>
        <w:spacing w:after="60"/>
      </w:pPr>
      <w:r>
        <w:rPr>
          <w:b/>
          <w:bCs/>
        </w:rPr>
        <w:t xml:space="preserve">Criterios de aceptación:</w:t>
      </w:r>
    </w:p>
    <w:p>
      <w:pPr>
        <w:pStyle w:val="ListParagraph"/>
        <w:numPr>
          <w:ilvl w:val="0"/>
          <w:numId w:val="2"/>
        </w:numPr>
      </w:pPr>
      <w:r>
        <w:t xml:space="preserve">El servicio debe traer la información de las personas que ya pertenecen a la sociedad en DCAC:</w:t>
      </w:r>
    </w:p>
    <w:p>
      <w:pPr>
        <w:pStyle w:val="ListParagraph"/>
        <w:numPr>
          <w:ilvl w:val="1"/>
          <w:numId w:val="2"/>
        </w:numPr>
      </w:pPr>
      <w:r>
        <w:t xml:space="preserve">Llama al sistema externo (sociedades_tag) y precarga apellido, nombre, documento, CUIT, email, teléfono y domicilio si existen.</w:t>
      </w:r>
    </w:p>
    <w:p>
      <w:pPr>
        <w:pStyle w:val="ListParagraph"/>
        <w:numPr>
          <w:ilvl w:val="1"/>
          <w:numId w:val="2"/>
        </w:numPr>
      </w:pPr>
      <w:r>
        <w:t xml:space="preserve">Marca claramente cuáles vienen de DCAC y cuáles son agregadas manualmente.</w:t>
      </w:r>
    </w:p>
    <w:p>
      <w:pPr>
        <w:pStyle w:val="ListParagraph"/>
        <w:numPr>
          <w:ilvl w:val="0"/>
          <w:numId w:val="2"/>
        </w:numPr>
      </w:pPr>
      <w:r>
        <w:t xml:space="preserve">El servicio debe permitir agregar más personas que NO son usuarios de DCAC:</w:t>
      </w:r>
    </w:p>
    <w:p>
      <w:pPr>
        <w:pStyle w:val="ListParagraph"/>
        <w:numPr>
          <w:ilvl w:val="1"/>
          <w:numId w:val="2"/>
        </w:numPr>
      </w:pPr>
      <w:r>
        <w:t xml:space="preserve">Botón 'Agregar persona' que abre un formulario nuevo.</w:t>
      </w:r>
    </w:p>
    <w:p>
      <w:pPr>
        <w:pStyle w:val="ListParagraph"/>
        <w:numPr>
          <w:ilvl w:val="1"/>
          <w:numId w:val="2"/>
        </w:numPr>
      </w:pPr>
      <w:r>
        <w:t xml:space="preserve">Campos obligatorios: apellido, nombre, tipo y número de documento, CUIT/CUIL, rol en la sociedad, condición PEP (sí/no).</w:t>
      </w:r>
    </w:p>
    <w:p>
      <w:pPr>
        <w:pStyle w:val="ListParagraph"/>
        <w:numPr>
          <w:ilvl w:val="1"/>
          <w:numId w:val="2"/>
        </w:numPr>
      </w:pPr>
      <w:r>
        <w:t xml:space="preserve">Campos opcionales: correo electrónico, teléfono, domicilio.</w:t>
      </w:r>
    </w:p>
    <w:p>
      <w:pPr>
        <w:pStyle w:val="ListParagraph"/>
        <w:numPr>
          <w:ilvl w:val="0"/>
          <w:numId w:val="2"/>
        </w:numPr>
      </w:pPr>
      <w:r>
        <w:t xml:space="preserve">Por cada persona se debe poder definir:</w:t>
      </w:r>
    </w:p>
    <w:p>
      <w:pPr>
        <w:pStyle w:val="ListParagraph"/>
        <w:numPr>
          <w:ilvl w:val="1"/>
          <w:numId w:val="2"/>
        </w:numPr>
      </w:pPr>
      <w:r>
        <w:t xml:space="preserve">Cargo societario (gerente / director / presidente / vicepresidente / apoderado / ninguno).</w:t>
      </w:r>
    </w:p>
    <w:p>
      <w:pPr>
        <w:pStyle w:val="ListParagraph"/>
        <w:numPr>
          <w:ilvl w:val="1"/>
          <w:numId w:val="2"/>
        </w:numPr>
      </w:pPr>
      <w:r>
        <w:t xml:space="preserve">Rol interno (texto libre o selección de la matriz UIF).</w:t>
      </w:r>
    </w:p>
    <w:p>
      <w:pPr>
        <w:pStyle w:val="ListParagraph"/>
        <w:numPr>
          <w:ilvl w:val="1"/>
          <w:numId w:val="2"/>
        </w:numPr>
      </w:pPr>
      <w:r>
        <w:t xml:space="preserve">Alcance de actos (créditos, pagos, bancos, etc. — multi-selección).</w:t>
      </w:r>
    </w:p>
    <w:p>
      <w:pPr>
        <w:pStyle w:val="ListParagraph"/>
        <w:numPr>
          <w:ilvl w:val="1"/>
          <w:numId w:val="2"/>
        </w:numPr>
      </w:pPr>
      <w:r>
        <w:t xml:space="preserve">Tipo de límite (sin_limite / hasta_x / rango_x_a_y) y montos correspondientes.</w:t>
      </w:r>
    </w:p>
    <w:p>
      <w:pPr>
        <w:pStyle w:val="ListParagraph"/>
        <w:numPr>
          <w:ilvl w:val="1"/>
          <w:numId w:val="2"/>
        </w:numPr>
      </w:pPr>
      <w:r>
        <w:t xml:space="preserve">Tipo de firma (individual / conjunta / obligatoria_casos / ninguna) y casos si aplica.</w:t>
      </w:r>
    </w:p>
    <w:p>
      <w:pPr>
        <w:pStyle w:val="ListParagraph"/>
        <w:numPr>
          <w:ilvl w:val="1"/>
          <w:numId w:val="2"/>
        </w:numPr>
      </w:pPr>
      <w:r>
        <w:t xml:space="preserve">Si figura en REPET (sí/no).</w:t>
      </w:r>
    </w:p>
    <w:p>
      <w:pPr>
        <w:pStyle w:val="ListParagraph"/>
        <w:numPr>
          <w:ilvl w:val="1"/>
          <w:numId w:val="2"/>
        </w:numPr>
      </w:pPr>
      <w:r>
        <w:t xml:space="preserve">Si es PEP (sí/no) — este flag dispara HU-06 del paso 3.</w:t>
      </w:r>
    </w:p>
    <w:p>
      <w:pPr>
        <w:pStyle w:val="ListParagraph"/>
        <w:numPr>
          <w:ilvl w:val="0"/>
          <w:numId w:val="2"/>
        </w:numPr>
      </w:pPr>
      <w:r>
        <w:t xml:space="preserve">Editar / desactivar persona: posible en cualquier momento del paso 2; queda log.</w:t>
      </w:r>
    </w:p>
    <w:p>
      <w:pPr>
        <w:pStyle w:val="ListParagraph"/>
        <w:numPr>
          <w:ilvl w:val="0"/>
          <w:numId w:val="2"/>
        </w:numPr>
      </w:pPr>
      <w:r>
        <w:t xml:space="preserve">El paso 2 no se puede cerrar si existe una sociedad sin al menos un representante legal cargado (regla UIF).</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Guardar borrador del paso 2 y reanudar después</w:t>
            </w:r>
          </w:p>
        </w:tc>
      </w:tr>
    </w:tbl>
    <w:p>
      <w:pPr>
        <w:spacing w:after="80" w:before="120"/>
      </w:pPr>
      <w:r>
        <w:rPr>
          <w:b/>
          <w:bCs/>
          <w:color w:val="5B5B5B"/>
        </w:rPr>
        <w:t xml:space="preserve">Contexto: </w:t>
      </w:r>
      <w:r>
        <w:rPr>
          <w:i/>
          <w:iCs/>
        </w:rPr>
        <w:t xml:space="preserve">El paso 2 puede llevar tiempo (cargar varios formularios y varias personas). El admin debe poder pausar y volver sin perder lo cargado.</w:t>
      </w:r>
    </w:p>
    <w:p>
      <w:pPr>
        <w:spacing w:after="40" w:before="120"/>
      </w:pPr>
      <w:r>
        <w:rPr>
          <w:b/>
          <w:bCs/>
        </w:rPr>
        <w:t xml:space="preserve">Como </w:t>
      </w:r>
      <w:r>
        <w:t xml:space="preserve">administrador</w:t>
      </w:r>
    </w:p>
    <w:p>
      <w:pPr>
        <w:spacing w:after="40"/>
      </w:pPr>
      <w:r>
        <w:rPr>
          <w:b/>
          <w:bCs/>
        </w:rPr>
        <w:t xml:space="preserve">Quiero </w:t>
      </w:r>
      <w:r>
        <w:t xml:space="preserve">guardar lo que llevo cargado del paso 2 sin avanzar al paso 3</w:t>
      </w:r>
    </w:p>
    <w:p>
      <w:pPr>
        <w:spacing w:after="120"/>
      </w:pPr>
      <w:r>
        <w:rPr>
          <w:b/>
          <w:bCs/>
        </w:rPr>
        <w:t xml:space="preserve">Para </w:t>
      </w:r>
      <w:r>
        <w:t xml:space="preserve">poder pausar la tarea y retomarla más tarde</w:t>
      </w:r>
    </w:p>
    <w:p>
      <w:pPr>
        <w:spacing w:after="60"/>
      </w:pPr>
      <w:r>
        <w:rPr>
          <w:b/>
          <w:bCs/>
        </w:rPr>
        <w:t xml:space="preserve">Criterios de aceptación:</w:t>
      </w:r>
    </w:p>
    <w:p>
      <w:pPr>
        <w:pStyle w:val="ListParagraph"/>
        <w:numPr>
          <w:ilvl w:val="0"/>
          <w:numId w:val="2"/>
        </w:numPr>
      </w:pPr>
      <w:r>
        <w:t xml:space="preserve">Botón 'Guardar borrador' siempre visible en el paso 2.</w:t>
      </w:r>
    </w:p>
    <w:p>
      <w:pPr>
        <w:pStyle w:val="ListParagraph"/>
        <w:numPr>
          <w:ilvl w:val="0"/>
          <w:numId w:val="2"/>
        </w:numPr>
      </w:pPr>
      <w:r>
        <w:t xml:space="preserve">Al volver al alta, el sistema retoma exactamente donde se dejó (mismo documento seleccionado, mismos campos cargados).</w:t>
      </w:r>
    </w:p>
    <w:p>
      <w:pPr>
        <w:pStyle w:val="ListParagraph"/>
        <w:numPr>
          <w:ilvl w:val="0"/>
          <w:numId w:val="2"/>
        </w:numPr>
      </w:pPr>
      <w:r>
        <w:t xml:space="preserve">Genera log alta_guardada_borrador con motivo opcional.</w:t>
      </w:r>
    </w:p>
    <w:p>
      <w:pPr>
        <w:pStyle w:val="ListParagraph"/>
        <w:numPr>
          <w:ilvl w:val="0"/>
          <w:numId w:val="2"/>
        </w:numPr>
      </w:pPr>
      <w:r>
        <w:t xml:space="preserve">El borrador no avanza el estado del cliente (sigue 'pendiente').</w:t>
      </w:r>
    </w:p>
    <w:p>
      <w:pPr>
        <w:spacing w:after="80"/>
      </w:pPr>
      <w:r>
        <w:t xml:space="preserve"/>
      </w:r>
    </w:p>
    <w:p>
      <w:r>
        <w:br w:type="page"/>
      </w:r>
    </w:p>
    <w:p>
      <w:pPr>
        <w:pStyle w:val="Heading2"/>
      </w:pPr>
      <w:r>
        <w:t xml:space="preserve">4.3 Paso 3 — Asignación de riesgo con matriz</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H7</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Calcular matriz de riesgo según tipo de cliente</w:t>
            </w:r>
          </w:p>
        </w:tc>
      </w:tr>
    </w:tbl>
    <w:p>
      <w:pPr>
        <w:spacing w:after="80" w:before="120"/>
      </w:pPr>
      <w:r>
        <w:rPr>
          <w:b/>
          <w:bCs/>
          <w:color w:val="5B5B5B"/>
        </w:rPr>
        <w:t xml:space="preserve">Contexto: </w:t>
      </w:r>
      <w:r>
        <w:rPr>
          <w:i/>
          <w:iCs/>
        </w:rPr>
        <w:t xml:space="preserve">Una vez completos los datos del paso 2, el sistema calcula automáticamente el nivel de riesgo aplicando la matriz correspondiente. Hay dos matrices: una para sociedad (Persona Jurídica: SA, SRL, SH, sucesión) y otra para Persona Humana / PF (particulares, profesionales independientes, autónomos, monotributistas, responsables inscriptos).</w:t>
      </w:r>
    </w:p>
    <w:p>
      <w:pPr>
        <w:spacing w:after="40" w:before="120"/>
      </w:pPr>
      <w:r>
        <w:rPr>
          <w:b/>
          <w:bCs/>
        </w:rPr>
        <w:t xml:space="preserve">Como </w:t>
      </w:r>
      <w:r>
        <w:t xml:space="preserve">sistema (con revisión del oficial de cumplimiento)</w:t>
      </w:r>
    </w:p>
    <w:p>
      <w:pPr>
        <w:spacing w:after="40"/>
      </w:pPr>
      <w:r>
        <w:rPr>
          <w:b/>
          <w:bCs/>
        </w:rPr>
        <w:t xml:space="preserve">Quiero </w:t>
      </w:r>
      <w:r>
        <w:t xml:space="preserve">calcular el puntaje y nivel de riesgo del cliente automáticamente</w:t>
      </w:r>
    </w:p>
    <w:p>
      <w:pPr>
        <w:spacing w:after="120"/>
      </w:pPr>
      <w:r>
        <w:rPr>
          <w:b/>
          <w:bCs/>
        </w:rPr>
        <w:t xml:space="preserve">Para </w:t>
      </w:r>
      <w:r>
        <w:t xml:space="preserve">asignar el tipo de due diligence y la frecuencia de revisión sin sesgo manual</w:t>
      </w:r>
    </w:p>
    <w:p>
      <w:pPr>
        <w:spacing w:after="60"/>
      </w:pPr>
      <w:r>
        <w:rPr>
          <w:b/>
          <w:bCs/>
        </w:rPr>
        <w:t xml:space="preserve">Criterios de aceptación:</w:t>
      </w:r>
    </w:p>
    <w:p>
      <w:pPr>
        <w:pStyle w:val="ListParagraph"/>
        <w:numPr>
          <w:ilvl w:val="0"/>
          <w:numId w:val="2"/>
        </w:numPr>
      </w:pPr>
      <w:r>
        <w:t xml:space="preserve">Selección de matriz:</w:t>
      </w:r>
    </w:p>
    <w:p>
      <w:pPr>
        <w:pStyle w:val="ListParagraph"/>
        <w:numPr>
          <w:ilvl w:val="1"/>
          <w:numId w:val="2"/>
        </w:numPr>
      </w:pPr>
      <w:r>
        <w:t xml:space="preserve">Si tipo_sociedad ∈ { SA, SRL, SH, sucesión } → matriz Sociedad.</w:t>
      </w:r>
    </w:p>
    <w:p>
      <w:pPr>
        <w:pStyle w:val="ListParagraph"/>
        <w:numPr>
          <w:ilvl w:val="1"/>
          <w:numId w:val="2"/>
        </w:numPr>
      </w:pPr>
      <w:r>
        <w:t xml:space="preserve">Si el alta es Persona Humana / PF (particular, profesional independiente, autónomo, monotributista o responsable inscripto) → matriz Persona Humana.</w:t>
      </w:r>
    </w:p>
    <w:p>
      <w:pPr>
        <w:pStyle w:val="ListParagraph"/>
        <w:numPr>
          <w:ilvl w:val="0"/>
          <w:numId w:val="2"/>
        </w:numPr>
      </w:pPr>
      <w:r>
        <w:t xml:space="preserve">El cálculo es 100% automático y se actualiza en tiempo real cada vez que cambia algún dato fuente del paso 2 (recálculo continuo). El oficial NO puede modificar manualmente los factores ni el puntaje resultante.</w:t>
      </w:r>
    </w:p>
    <w:p>
      <w:pPr>
        <w:pStyle w:val="ListParagraph"/>
        <w:numPr>
          <w:ilvl w:val="0"/>
          <w:numId w:val="2"/>
        </w:numPr>
      </w:pPr>
      <w:r>
        <w:t xml:space="preserve">Factores de la matriz Sociedad (PJ): valor de riesgo, ponderación y origen del dato: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950"/>
        <w:gridCol w:w="950"/>
        <w:gridCol w:w="3800"/>
      </w:tblGrid>
      <w:tr>
        <w:tc>
          <w:tcPr>
            <w:tcW w:type="dxa" w:w="13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Factor</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Valor de riesgo</w:t>
            </w:r>
          </w:p>
        </w:tc>
        <w:tc>
          <w:tcPr>
            <w:tcW w:type="dxa" w:w="95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Pond. alta</w:t>
            </w:r>
          </w:p>
        </w:tc>
        <w:tc>
          <w:tcPr>
            <w:tcW w:type="dxa" w:w="95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Pond. mes a mes</w:t>
            </w:r>
          </w:p>
        </w:tc>
        <w:tc>
          <w:tcPr>
            <w:tcW w:type="dxa" w:w="3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Origen del dato</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PEP</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Sí / No (override: si alguna persona vinculada es PEP, la sociedad pasa a riesgo alto, sin importar el resto de los factores)</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 (override)</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 (override)</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Carga manual en sección Personas (paso 2): flag PEP por persona vinculada (socio, director, autoridad, administrador, beneficiario final, apoderado, heredero). Con que una sola persona sea PEP, la sociedad ya tiene riesgo alto.</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Actividad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 (Bajo) — agroganadera (asumida)</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45 % (sugerido)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10 %</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Asumida — no se pregunta ni se obtiene del Estatuto. Se da por supuesto que todos los clientes provienen de la actividad agroganadera, por lo que la actividad es siempre Bajo (1).</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Antigüedad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&lt; 12 meses → Alto (5); 12–24 meses → Medio (3); &gt; 24 meses → Bajo (1)</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0 % (no aplica en onboarding)</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30 % (sugerido)</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Tiempo transcurrido desde el alta del cliente en la plataforma (no desde la fecha de constitución de la sociedad). A menor antigüedad, mayor riesgo, por falta de historial transaccional. No se considera durante los primeros 12 meses post-alta; entra en el recálculo mensual a partir del mes 13.</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Materialidad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 (Bajo) / 3 (Medio) / 5 (Alto)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45 % (sugerido)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20 % (sugerido)</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Dato de Balance / Estados Contables (paso 2). El analista de Compliance ingresa manualmente las ventas anuales y el sistema deriva el monto mensual esperado: Ventas anuales / 12. Rangos de mapeo a confirmar con Compliance.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Residencialidad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 (Bajo) / 3 (Medio) / 5 (Alto)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10 % (sugerido)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40 % (sugerido — &gt; Antigüedad)</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Domicilio fiscal de la sociedad (campo del Estatuto / Contrato Social / Acuerdo de Constitución, paso 2). Mapeo de jurisdicciones a confirmar con Compliance.</w:t>
            </w:r>
          </w:p>
        </w:tc>
      </w:tr>
    </w:tbl>
    <w:p>
      <w:pPr>
        <w:pStyle w:val="ListParagraph"/>
        <w:numPr>
          <w:ilvl w:val="0"/>
          <w:numId w:val="2"/>
        </w:numPr>
      </w:pPr>
      <w:r>
        <w:t xml:space="preserve">Notas de la matriz Sociedad (PJ):</w:t>
      </w:r>
    </w:p>
    <w:p>
      <w:pPr>
        <w:pStyle w:val="ListParagraph"/>
        <w:numPr>
          <w:ilvl w:val="1"/>
          <w:numId w:val="2"/>
        </w:numPr>
      </w:pPr>
      <w:r>
        <w:t xml:space="preserve">PEP funciona como override binario: con que una persona vinculada esté marcada PEP, la sociedad queda en riesgo alto y no se evalúa la ponderación de los demás factores.</w:t>
      </w:r>
    </w:p>
    <w:p>
      <w:pPr>
        <w:pStyle w:val="ListParagraph"/>
        <w:numPr>
          <w:ilvl w:val="1"/>
          <w:numId w:val="2"/>
        </w:numPr>
      </w:pPr>
      <w:r>
        <w:t xml:space="preserve">Las ponderaciones mostradas son sugeridas y deben confirmarse con Compliance; en cualquier caso deben sumar 100 %. Orden de importancia que respetan: en onboarding, Actividad ≈ Materialidad &gt; Residencialidad &gt; Antigüedad (= 0); mes a mes, Materialidad ≈ Residencialidad &gt; Antigüedad &gt; Actividad. Residencialidad debe tener siempre más peso que Antigüedad.</w:t>
      </w:r>
    </w:p>
    <w:p>
      <w:pPr>
        <w:pStyle w:val="ListParagraph"/>
        <w:numPr>
          <w:ilvl w:val="1"/>
          <w:numId w:val="2"/>
        </w:numPr>
      </w:pPr>
      <w:r>
        <w:t xml:space="preserve">Se elimina nacionalidad como factor independiente — la jurisdicción se evalúa dentro de Residencialidad (domicilio fiscal).</w:t>
      </w:r>
    </w:p>
    <w:p>
      <w:pPr>
        <w:pStyle w:val="ListParagraph"/>
        <w:numPr>
          <w:ilvl w:val="0"/>
          <w:numId w:val="2"/>
        </w:numPr>
      </w:pPr>
      <w:r>
        <w:t xml:space="preserve">Factores de la matriz Persona Humana (PF) y origen de cada dato:</w:t>
      </w:r>
    </w:p>
    <w:p>
      <w:pPr>
        <w:pStyle w:val="ListParagraph"/>
        <w:numPr>
          <w:ilvl w:val="1"/>
          <w:numId w:val="2"/>
        </w:numPr>
      </w:pPr>
      <w:r>
        <w:t xml:space="preserve">es_pep (booleano): viene de la PSP de cara al usuario, vista del cliente final (productor). El productor releva la condición PEP del cliente y la marca desde su vista; ese flag llega al back-office de Compliance. No se carga documento.</w:t>
      </w:r>
    </w:p>
    <w:p>
      <w:pPr>
        <w:pStyle w:val="ListParagraph"/>
        <w:numPr>
          <w:ilvl w:val="1"/>
          <w:numId w:val="2"/>
        </w:numPr>
      </w:pPr>
      <w:r>
        <w:t xml:space="preserve">nacionalidad (1 / 3 / 5): dato extraído por 4iDigital del DNI Frente (campo "Nationality"). Mapeo: Argentina = 1, MERCOSUR = 3, otra jurisdicción = 5 (tabla a confirmar con Compliance). Solo aplica a PF — la matriz Sociedad (PJ) no incluye nacionalidad como factor independiente; la jurisdicción se evalúa dentro de Residencialidad.</w:t>
      </w:r>
    </w:p>
    <w:p>
      <w:pPr>
        <w:pStyle w:val="ListParagraph"/>
        <w:numPr>
          <w:ilvl w:val="1"/>
          <w:numId w:val="2"/>
        </w:numPr>
      </w:pPr>
      <w:r>
        <w:t xml:space="preserve">residencia (1 / 3 / 5): dato extraído por 4iDigital del DNI Dorso (campo "Address" — domicilio del cliente). Mapeo: Argentina = 1, MERCOSUR = 3, otra = 5 (tabla a confirmar con Compliance). En la matriz Sociedad (PJ), el equivalente se llama Residencialidad y se obtiene del domicilio fiscal.</w:t>
      </w:r>
    </w:p>
    <w:p>
      <w:pPr>
        <w:pStyle w:val="ListParagraph"/>
        <w:numPr>
          <w:ilvl w:val="1"/>
          <w:numId w:val="2"/>
        </w:numPr>
      </w:pPr>
      <w:r>
        <w:t xml:space="preserve">actividad (1 / 3 / 5): la carga el propio cliente en el proceso de alta client-facing (campo "ocupación", selección única del listado del front: empleado/a, monotributista, profesional independiente, responsable inscripto, etc.). Mapeo a riesgo UIF a confirmar con Compliance.</w:t>
      </w:r>
    </w:p>
    <w:p>
      <w:pPr>
        <w:pStyle w:val="ListParagraph"/>
        <w:numPr>
          <w:ilvl w:val="1"/>
          <w:numId w:val="2"/>
        </w:numPr>
      </w:pPr>
      <w:r>
        <w:t xml:space="preserve">materialidad (1 / 3 / 5): no se considera durante los primeros 12 meses post-alta porque todavía no hay datos transaccionales. A partir del mes 13, se calcula sobre el monto mensual operado del cliente en la PSP.</w:t>
      </w:r>
    </w:p>
    <w:p>
      <w:pPr>
        <w:pStyle w:val="ListParagraph"/>
        <w:numPr>
          <w:ilvl w:val="1"/>
          <w:numId w:val="2"/>
        </w:numPr>
      </w:pPr>
      <w:r>
        <w:t xml:space="preserve">antigüedad como cliente PSP: no se considera en el onboarding. Entra en la consideración del riesgo a partir de los 12 meses, dentro del recálculo mensual.</w:t>
      </w:r>
    </w:p>
    <w:p>
      <w:pPr>
        <w:pStyle w:val="ListParagraph"/>
        <w:numPr>
          <w:ilvl w:val="0"/>
          <w:numId w:val="2"/>
        </w:numPr>
      </w:pPr>
      <w:r>
        <w:t xml:space="preserve">Periodicidad del cálculo:</w:t>
      </w:r>
    </w:p>
    <w:p>
      <w:pPr>
        <w:pStyle w:val="ListParagraph"/>
        <w:numPr>
          <w:ilvl w:val="1"/>
          <w:numId w:val="2"/>
        </w:numPr>
      </w:pPr>
      <w:r>
        <w:t xml:space="preserve">En el onboarding (alta inicial): el riesgo se calcula con los factores disponibles en ese momento. Para PF, materialidad y antigüedad-como-cliente no aplican todavía.</w:t>
      </w:r>
    </w:p>
    <w:p>
      <w:pPr>
        <w:pStyle w:val="ListParagraph"/>
        <w:numPr>
          <w:ilvl w:val="1"/>
          <w:numId w:val="2"/>
        </w:numPr>
      </w:pPr>
      <w:r>
        <w:t xml:space="preserve">A partir del mes 13: el sistema empieza a recalcular el riesgo mes a mes incorporando materialidad (monto mensual operado en la PSP) y antigüedad como cliente. El recálculo continuo aplica tanto para PF como para PJ.</w:t>
      </w:r>
    </w:p>
    <w:p>
      <w:pPr>
        <w:pStyle w:val="ListParagraph"/>
        <w:numPr>
          <w:ilvl w:val="0"/>
          <w:numId w:val="2"/>
        </w:numPr>
      </w:pPr>
      <w:r>
        <w:t xml:space="preserve">Reglas de mapeo a nivel:</w:t>
      </w:r>
    </w:p>
    <w:p>
      <w:pPr>
        <w:pStyle w:val="ListParagraph"/>
        <w:numPr>
          <w:ilvl w:val="1"/>
          <w:numId w:val="2"/>
        </w:numPr>
      </w:pPr>
      <w:r>
        <w:t xml:space="preserve">puntaje &gt;= 35 → alto → due diligence reforzada → próxima revisión + 6 meses.</w:t>
      </w:r>
    </w:p>
    <w:p>
      <w:pPr>
        <w:pStyle w:val="ListParagraph"/>
        <w:numPr>
          <w:ilvl w:val="1"/>
          <w:numId w:val="2"/>
        </w:numPr>
      </w:pPr>
      <w:r>
        <w:t xml:space="preserve">puntaje 20–34 → medio → due diligence media → próxima revisión + 1 año.</w:t>
      </w:r>
    </w:p>
    <w:p>
      <w:pPr>
        <w:pStyle w:val="ListParagraph"/>
        <w:numPr>
          <w:ilvl w:val="1"/>
          <w:numId w:val="2"/>
        </w:numPr>
      </w:pPr>
      <w:r>
        <w:t xml:space="preserve">puntaje &lt; 20 → bajo → due diligence simplificada → próxima revisión + 2 años.</w:t>
      </w:r>
    </w:p>
    <w:p>
      <w:pPr>
        <w:pStyle w:val="ListParagraph"/>
        <w:numPr>
          <w:ilvl w:val="0"/>
          <w:numId w:val="2"/>
        </w:numPr>
      </w:pPr>
      <w:r>
        <w:t xml:space="preserve">El cálculo se persiste en la tabla riesgo_sociedad y se replica nivel_riesgo en sociedades_tag.</w:t>
      </w:r>
    </w:p>
    <w:p>
      <w:pPr>
        <w:pStyle w:val="ListParagraph"/>
        <w:numPr>
          <w:ilvl w:val="0"/>
          <w:numId w:val="2"/>
        </w:numPr>
      </w:pPr>
      <w:r>
        <w:t xml:space="preserve">La pantalla muestra el detalle de cada factor con su puntaje y el total, no solo el resultado final.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H8</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Cerrar paso 3 con nivel de riesgo asignado</w:t>
            </w:r>
          </w:p>
        </w:tc>
      </w:tr>
    </w:tbl>
    <w:p>
      <w:pPr>
        <w:spacing w:after="80" w:before="120"/>
      </w:pPr>
      <w:r>
        <w:rPr>
          <w:b/>
          <w:bCs/>
          <w:color w:val="5B5B5B"/>
        </w:rPr>
        <w:t xml:space="preserve">Contexto: </w:t>
      </w:r>
      <w:r>
        <w:rPr>
          <w:i/>
          <w:iCs/>
        </w:rPr>
        <w:t xml:space="preserve">Una vez revisado el cálculo, el oficial confirma el nivel y avanza al paso 4.</w:t>
      </w:r>
    </w:p>
    <w:p>
      <w:pPr>
        <w:spacing w:after="40" w:before="120"/>
      </w:pPr>
      <w:r>
        <w:rPr>
          <w:b/>
          <w:bCs/>
        </w:rPr>
        <w:t xml:space="preserve">Como </w:t>
      </w:r>
      <w:r>
        <w:t xml:space="preserve">Oficial de Cumplimiento (nivel_1)</w:t>
      </w:r>
    </w:p>
    <w:p>
      <w:pPr>
        <w:spacing w:after="40"/>
      </w:pPr>
      <w:r>
        <w:rPr>
          <w:b/>
          <w:bCs/>
        </w:rPr>
        <w:t xml:space="preserve">Quiero </w:t>
      </w:r>
      <w:r>
        <w:t xml:space="preserve">confirmar el nivel de riesgo calculado y avanzar al paso 4</w:t>
      </w:r>
    </w:p>
    <w:p>
      <w:pPr>
        <w:spacing w:after="120"/>
      </w:pPr>
      <w:r>
        <w:rPr>
          <w:b/>
          <w:bCs/>
        </w:rPr>
        <w:t xml:space="preserve">Para </w:t>
      </w:r>
      <w:r>
        <w:t xml:space="preserve">fijar la calificación que se usará en la aprobación final</w:t>
      </w:r>
    </w:p>
    <w:p>
      <w:pPr>
        <w:spacing w:after="60"/>
      </w:pPr>
      <w:r>
        <w:rPr>
          <w:b/>
          <w:bCs/>
        </w:rPr>
        <w:t xml:space="preserve">Criterios de aceptación:</w:t>
      </w:r>
    </w:p>
    <w:p>
      <w:pPr>
        <w:pStyle w:val="ListParagraph"/>
        <w:numPr>
          <w:ilvl w:val="0"/>
          <w:numId w:val="2"/>
        </w:numPr>
      </w:pPr>
      <w:r>
        <w:t xml:space="preserve">El paso 3 no puede cerrarse sin un nivel de riesgo asignado.</w:t>
      </w:r>
    </w:p>
    <w:p>
      <w:pPr>
        <w:pStyle w:val="ListParagraph"/>
        <w:numPr>
          <w:ilvl w:val="0"/>
          <w:numId w:val="2"/>
        </w:numPr>
      </w:pPr>
      <w:r>
        <w:t xml:space="preserve">Al cerrar, queda log con el puntaje, nivel y due diligence resultante.</w:t>
      </w:r>
    </w:p>
    <w:p>
      <w:pPr>
        <w:pStyle w:val="ListParagraph"/>
        <w:numPr>
          <w:ilvl w:val="0"/>
          <w:numId w:val="2"/>
        </w:numPr>
      </w:pPr>
      <w:r>
        <w:t xml:space="preserve">Si después se editan datos en el paso 4 que afectan los factores, el sistema dispara recálculo (HU-12).</w:t>
      </w:r>
    </w:p>
    <w:p>
      <w:pPr>
        <w:spacing w:after="80"/>
      </w:pPr>
      <w:r>
        <w:t xml:space="preserve"/>
      </w:r>
    </w:p>
    <w:p>
      <w:r>
        <w:br w:type="page"/>
      </w:r>
    </w:p>
    <w:p>
      <w:pPr>
        <w:pStyle w:val="Heading2"/>
      </w:pPr>
      <w:r>
        <w:t xml:space="preserve">4.4 Paso 4 — Alta final (validación y edición)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H9</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Resumen integral del alta</w:t>
            </w:r>
          </w:p>
        </w:tc>
      </w:tr>
    </w:tbl>
    <w:p>
      <w:pPr>
        <w:spacing w:after="80" w:before="120"/>
      </w:pPr>
      <w:r>
        <w:rPr>
          <w:b/>
          <w:bCs/>
          <w:color w:val="5B5B5B"/>
        </w:rPr>
        <w:t xml:space="preserve">Contexto: </w:t>
      </w:r>
      <w:r>
        <w:rPr>
          <w:i/>
          <w:iCs/>
        </w:rPr>
        <w:t xml:space="preserve">Antes de aprobar, el oficial necesita una vista única que consolide todo lo cargado en los pasos 1, 2 y 3.</w:t>
      </w:r>
    </w:p>
    <w:p>
      <w:pPr>
        <w:spacing w:after="40" w:before="120"/>
      </w:pPr>
      <w:r>
        <w:rPr>
          <w:b/>
          <w:bCs/>
        </w:rPr>
        <w:t xml:space="preserve">Como </w:t>
      </w:r>
      <w:r>
        <w:t xml:space="preserve">Oficial de Cumplimiento (nivel_1)</w:t>
      </w:r>
    </w:p>
    <w:p>
      <w:pPr>
        <w:spacing w:after="40"/>
      </w:pPr>
      <w:r>
        <w:rPr>
          <w:b/>
          <w:bCs/>
        </w:rPr>
        <w:t xml:space="preserve">Quiero </w:t>
      </w:r>
      <w:r>
        <w:t xml:space="preserve">ver un resumen consolidado del alta: documentos con sus estados, datos de sociedad, personas vinculadas y nivel de riesgo</w:t>
      </w:r>
    </w:p>
    <w:p>
      <w:pPr>
        <w:spacing w:after="120"/>
      </w:pPr>
      <w:r>
        <w:rPr>
          <w:b/>
          <w:bCs/>
        </w:rPr>
        <w:t xml:space="preserve">Para </w:t>
      </w:r>
      <w:r>
        <w:t xml:space="preserve">tener el panorama completo antes de decidir</w:t>
      </w:r>
    </w:p>
    <w:p>
      <w:pPr>
        <w:spacing w:after="60"/>
      </w:pPr>
      <w:r>
        <w:rPr>
          <w:b/>
          <w:bCs/>
        </w:rPr>
        <w:t xml:space="preserve">Criterios de aceptación:</w:t>
      </w:r>
    </w:p>
    <w:p>
      <w:pPr>
        <w:pStyle w:val="ListParagraph"/>
        <w:numPr>
          <w:ilvl w:val="0"/>
          <w:numId w:val="2"/>
        </w:numPr>
      </w:pPr>
      <w:r>
        <w:t xml:space="preserve">Bloques del resumen:</w:t>
      </w:r>
    </w:p>
    <w:p>
      <w:pPr>
        <w:pStyle w:val="ListParagraph"/>
        <w:numPr>
          <w:ilvl w:val="1"/>
          <w:numId w:val="2"/>
        </w:numPr>
      </w:pPr>
      <w:r>
        <w:t xml:space="preserve">Documentos: lista con status pill por documento, indicando observados y rechazados.</w:t>
      </w:r>
    </w:p>
    <w:p>
      <w:pPr>
        <w:pStyle w:val="ListParagraph"/>
        <w:numPr>
          <w:ilvl w:val="1"/>
          <w:numId w:val="2"/>
        </w:numPr>
      </w:pPr>
      <w:r>
        <w:t xml:space="preserve">Datos de sociedad: razón social, CUIT, tipo, fecha constitución, capital, etc.</w:t>
      </w:r>
    </w:p>
    <w:p>
      <w:pPr>
        <w:pStyle w:val="ListParagraph"/>
        <w:numPr>
          <w:ilvl w:val="1"/>
          <w:numId w:val="2"/>
        </w:numPr>
      </w:pPr>
      <w:r>
        <w:t xml:space="preserve">Personas: tabla con nombre, rol, PEP, alcance, firma.</w:t>
      </w:r>
    </w:p>
    <w:p>
      <w:pPr>
        <w:pStyle w:val="ListParagraph"/>
        <w:numPr>
          <w:ilvl w:val="1"/>
          <w:numId w:val="2"/>
        </w:numPr>
      </w:pPr>
      <w:r>
        <w:t xml:space="preserve">Riesgo: nivel asignado, puntaje, factores y due diligence.</w:t>
      </w:r>
    </w:p>
    <w:p>
      <w:pPr>
        <w:pStyle w:val="ListParagraph"/>
        <w:numPr>
          <w:ilvl w:val="0"/>
          <w:numId w:val="2"/>
        </w:numPr>
      </w:pPr>
      <w:r>
        <w:t xml:space="preserve">Cada bloque tiene un atajo 'Editar' que lleva al paso correspondiente sin reiniciar el flujo.</w:t>
      </w:r>
    </w:p>
    <w:p>
      <w:pPr>
        <w:pStyle w:val="ListParagraph"/>
        <w:numPr>
          <w:ilvl w:val="0"/>
          <w:numId w:val="2"/>
        </w:numPr>
      </w:pPr>
      <w:r>
        <w:t xml:space="preserve">Si el paso 1 cerró con excepción documental, mostrar la advertencia y el motivo de la excepción.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H10</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documentación ya cargada en el alta final</w:t>
            </w:r>
          </w:p>
        </w:tc>
      </w:tr>
    </w:tbl>
    <w:p>
      <w:pPr>
        <w:spacing w:after="80" w:before="120"/>
      </w:pPr>
      <w:r>
        <w:rPr>
          <w:b/>
          <w:bCs/>
          <w:color w:val="5B5B5B"/>
        </w:rPr>
        <w:t xml:space="preserve">Contexto: </w:t>
      </w:r>
      <w:r>
        <w:rPr>
          <w:i/>
          <w:iCs/>
        </w:rPr>
        <w:t xml:space="preserve">En el paso 4 se puede volver al paso 1 y cambiar la decisión sobre cualquier documento sin reiniciar el alta.</w:t>
      </w:r>
    </w:p>
    <w:p>
      <w:pPr>
        <w:spacing w:after="40" w:before="120"/>
      </w:pPr>
      <w:r>
        <w:rPr>
          <w:b/>
          <w:bCs/>
        </w:rPr>
        <w:t xml:space="preserve">Como </w:t>
      </w:r>
      <w:r>
        <w:t xml:space="preserve">Oficial de Cumplimiento o Analista</w:t>
      </w:r>
    </w:p>
    <w:p>
      <w:pPr>
        <w:spacing w:after="40"/>
      </w:pPr>
      <w:r>
        <w:rPr>
          <w:b/>
          <w:bCs/>
        </w:rPr>
        <w:t xml:space="preserve">Quiero </w:t>
      </w:r>
      <w:r>
        <w:t xml:space="preserve">volver a cualquier documento del paso 1 desde el resumen y reemplazarlo, observarlo, aceptarlo o rechazarlo</w:t>
      </w:r>
    </w:p>
    <w:p>
      <w:pPr>
        <w:spacing w:after="120"/>
      </w:pPr>
      <w:r>
        <w:rPr>
          <w:b/>
          <w:bCs/>
        </w:rPr>
        <w:t xml:space="preserve">Para </w:t>
      </w:r>
      <w:r>
        <w:t xml:space="preserve">corregir errores detectados en la revisión final</w:t>
      </w:r>
    </w:p>
    <w:p>
      <w:pPr>
        <w:spacing w:after="60"/>
      </w:pPr>
      <w:r>
        <w:rPr>
          <w:b/>
          <w:bCs/>
        </w:rPr>
        <w:t xml:space="preserve">Criterios de aceptación:</w:t>
      </w:r>
    </w:p>
    <w:p>
      <w:pPr>
        <w:pStyle w:val="ListParagraph"/>
        <w:numPr>
          <w:ilvl w:val="0"/>
          <w:numId w:val="2"/>
        </w:numPr>
      </w:pPr>
      <w:r>
        <w:t xml:space="preserve">El acceso 'Editar documento' devuelve al visor del paso 1 con el documento abierto.</w:t>
      </w:r>
    </w:p>
    <w:p>
      <w:pPr>
        <w:pStyle w:val="ListParagraph"/>
        <w:numPr>
          <w:ilvl w:val="0"/>
          <w:numId w:val="2"/>
        </w:numPr>
      </w:pPr>
      <w:r>
        <w:t xml:space="preserve">Al modificar, queda log de la nueva decisión y el resumen del paso 4 se actualiza.</w:t>
      </w:r>
    </w:p>
    <w:p>
      <w:pPr>
        <w:pStyle w:val="ListParagraph"/>
        <w:numPr>
          <w:ilvl w:val="0"/>
          <w:numId w:val="2"/>
        </w:numPr>
      </w:pPr>
      <w:r>
        <w:t xml:space="preserve">Si se rechaza un documento que era obligatorio y estaba aprobado, se dispara una advertencia y se ofrece marcarlo como 'pendiente de re-presentación' por el cliente.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datos de sociedad o personas en el alta final</w:t>
            </w:r>
          </w:p>
        </w:tc>
      </w:tr>
    </w:tbl>
    <w:p>
      <w:pPr>
        <w:spacing w:after="80" w:before="120"/>
      </w:pPr>
      <w:r>
        <w:rPr>
          <w:b/>
          <w:bCs/>
          <w:color w:val="5B5B5B"/>
        </w:rPr>
        <w:t xml:space="preserve">Contexto: </w:t>
      </w:r>
      <w:r>
        <w:rPr>
          <w:i/>
          <w:iCs/>
        </w:rPr>
        <w:t xml:space="preserve">Idem H11 para los datos cargados en el paso 2.</w:t>
      </w:r>
    </w:p>
    <w:p>
      <w:pPr>
        <w:spacing w:after="40" w:before="120"/>
      </w:pPr>
      <w:r>
        <w:rPr>
          <w:b/>
          <w:bCs/>
        </w:rPr>
        <w:t xml:space="preserve">Como </w:t>
      </w:r>
      <w:r>
        <w:t xml:space="preserve">Oficial de Cumplimiento o Analista</w:t>
      </w:r>
    </w:p>
    <w:p>
      <w:pPr>
        <w:spacing w:after="40"/>
      </w:pPr>
      <w:r>
        <w:rPr>
          <w:b/>
          <w:bCs/>
        </w:rPr>
        <w:t xml:space="preserve">Quiero </w:t>
      </w:r>
      <w:r>
        <w:t xml:space="preserve">modificar cualquier campo de la sociedad o de las personas desde el resumen</w:t>
      </w:r>
    </w:p>
    <w:p>
      <w:pPr>
        <w:spacing w:after="120"/>
      </w:pPr>
      <w:r>
        <w:rPr>
          <w:b/>
          <w:bCs/>
        </w:rPr>
        <w:t xml:space="preserve">Para </w:t>
      </w:r>
      <w:r>
        <w:t xml:space="preserve">corregir tipeos o datos desactualizados sin reiniciar el alta</w:t>
      </w:r>
    </w:p>
    <w:p>
      <w:pPr>
        <w:spacing w:after="60"/>
      </w:pPr>
      <w:r>
        <w:rPr>
          <w:b/>
          <w:bCs/>
        </w:rPr>
        <w:t xml:space="preserve">Criterios de aceptación:</w:t>
      </w:r>
    </w:p>
    <w:p>
      <w:pPr>
        <w:pStyle w:val="ListParagraph"/>
        <w:numPr>
          <w:ilvl w:val="0"/>
          <w:numId w:val="2"/>
        </w:numPr>
      </w:pPr>
      <w:r>
        <w:t xml:space="preserve">El acceso 'Editar' devuelve al formulario del paso 2 con el campo en foco.</w:t>
      </w:r>
    </w:p>
    <w:p>
      <w:pPr>
        <w:pStyle w:val="ListParagraph"/>
        <w:numPr>
          <w:ilvl w:val="0"/>
          <w:numId w:val="2"/>
        </w:numPr>
      </w:pPr>
      <w:r>
        <w:t xml:space="preserve">Cada cambio queda en logs_acciones con tipo_accion = 'datos_modificados'.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Recálculo automático del riesgo si se editan datos relevantes</w:t>
            </w:r>
          </w:p>
        </w:tc>
      </w:tr>
    </w:tbl>
    <w:p>
      <w:pPr>
        <w:spacing w:after="80" w:before="120"/>
      </w:pPr>
      <w:r>
        <w:rPr>
          <w:b/>
          <w:bCs/>
          <w:color w:val="5B5B5B"/>
        </w:rPr>
        <w:t xml:space="preserve">Contexto: </w:t>
      </w:r>
      <w:r>
        <w:rPr>
          <w:i/>
          <w:iCs/>
        </w:rPr>
        <w:t xml:space="preserve">Algunos datos del paso 2 son inputs del cálculo del paso 3. Si se modifican, el riesgo debe recalcularse.</w:t>
      </w:r>
    </w:p>
    <w:p>
      <w:pPr>
        <w:spacing w:after="40" w:before="120"/>
      </w:pPr>
      <w:r>
        <w:rPr>
          <w:b/>
          <w:bCs/>
        </w:rPr>
        <w:t xml:space="preserve">Como </w:t>
      </w:r>
      <w:r>
        <w:t xml:space="preserve">sistema</w:t>
      </w:r>
    </w:p>
    <w:p>
      <w:pPr>
        <w:spacing w:after="40"/>
      </w:pPr>
      <w:r>
        <w:rPr>
          <w:b/>
          <w:bCs/>
        </w:rPr>
        <w:t xml:space="preserve">Quiero </w:t>
      </w:r>
      <w:r>
        <w:t xml:space="preserve">recalcular la matriz cuando cambian datos que la afectan</w:t>
      </w:r>
    </w:p>
    <w:p>
      <w:pPr>
        <w:spacing w:after="120"/>
      </w:pPr>
      <w:r>
        <w:rPr>
          <w:b/>
          <w:bCs/>
        </w:rPr>
        <w:t xml:space="preserve">Para </w:t>
      </w:r>
      <w:r>
        <w:t xml:space="preserve">que el nivel de riesgo final sea consistente con los datos efectivamente aprobados</w:t>
      </w:r>
    </w:p>
    <w:p>
      <w:pPr>
        <w:spacing w:after="60"/>
      </w:pPr>
      <w:r>
        <w:rPr>
          <w:b/>
          <w:bCs/>
        </w:rPr>
        <w:t xml:space="preserve">Criterios de aceptación:</w:t>
      </w:r>
    </w:p>
    <w:p>
      <w:pPr>
        <w:pStyle w:val="ListParagraph"/>
        <w:numPr>
          <w:ilvl w:val="0"/>
          <w:numId w:val="2"/>
        </w:numPr>
      </w:pPr>
      <w:r>
        <w:t xml:space="preserve">Disparadores de recálculo:</w:t>
      </w:r>
    </w:p>
    <w:p>
      <w:pPr>
        <w:pStyle w:val="ListParagraph"/>
        <w:numPr>
          <w:ilvl w:val="1"/>
          <w:numId w:val="2"/>
        </w:numPr>
      </w:pPr>
      <w:r>
        <w:t xml:space="preserve">Cambio en condición PEP de cualquier persona vinculada.</w:t>
      </w:r>
    </w:p>
    <w:p>
      <w:pPr>
        <w:pStyle w:val="ListParagraph"/>
        <w:numPr>
          <w:ilvl w:val="1"/>
          <w:numId w:val="2"/>
        </w:numPr>
      </w:pPr>
      <w:r>
        <w:t xml:space="preserve">Cambio en actividad principal de la sociedad.</w:t>
      </w:r>
    </w:p>
    <w:p>
      <w:pPr>
        <w:pStyle w:val="ListParagraph"/>
        <w:numPr>
          <w:ilvl w:val="1"/>
          <w:numId w:val="2"/>
        </w:numPr>
      </w:pPr>
      <w:r>
        <w:t xml:space="preserve">Cambio en residencia o nacionalidad.</w:t>
      </w:r>
    </w:p>
    <w:p>
      <w:pPr>
        <w:pStyle w:val="ListParagraph"/>
        <w:numPr>
          <w:ilvl w:val="1"/>
          <w:numId w:val="2"/>
        </w:numPr>
      </w:pPr>
      <w:r>
        <w:t xml:space="preserve">Cambio en materialidad / antigüedad.</w:t>
      </w:r>
    </w:p>
    <w:p>
      <w:pPr>
        <w:pStyle w:val="ListParagraph"/>
        <w:numPr>
          <w:ilvl w:val="0"/>
          <w:numId w:val="2"/>
        </w:numPr>
      </w:pPr>
      <w:r>
        <w:t xml:space="preserve">Si cambia el nivel resultante (ej. de medio a alto), se notifica visualmente al oficial antes de aprobar.</w:t>
      </w:r>
    </w:p>
    <w:p>
      <w:pPr>
        <w:pStyle w:val="ListParagraph"/>
        <w:numPr>
          <w:ilvl w:val="0"/>
          <w:numId w:val="2"/>
        </w:numPr>
      </w:pPr>
      <w:r>
        <w:t xml:space="preserve">Queda log del recálculo con valores anteriores y nuevos.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Aprobar el alta final</w:t>
            </w:r>
          </w:p>
        </w:tc>
      </w:tr>
    </w:tbl>
    <w:p>
      <w:pPr>
        <w:spacing w:after="80" w:before="120"/>
      </w:pPr>
      <w:r>
        <w:rPr>
          <w:b/>
          <w:bCs/>
          <w:color w:val="5B5B5B"/>
        </w:rPr>
        <w:t xml:space="preserve">Contexto: </w:t>
      </w:r>
      <w:r>
        <w:rPr>
          <w:i/>
          <w:iCs/>
        </w:rPr>
        <w:t xml:space="preserve">Confirma el alta. Para PF cierra el caso y dispara CVU; para PJ pasa a “pendiente firmas” y habilita la definición de firmantes y la firma del contrato de adhesión vía Signatura.</w:t>
      </w:r>
    </w:p>
    <w:p>
      <w:pPr>
        <w:spacing w:after="40" w:before="120"/>
      </w:pPr>
      <w:r>
        <w:rPr>
          <w:b/>
          <w:bCs/>
        </w:rPr>
        <w:t xml:space="preserve">Como </w:t>
      </w:r>
      <w:r>
        <w:t xml:space="preserve">Oficial de Cumplimiento (nivel_1)</w:t>
      </w:r>
    </w:p>
    <w:p>
      <w:pPr>
        <w:spacing w:after="40"/>
      </w:pPr>
      <w:r>
        <w:rPr>
          <w:b/>
          <w:bCs/>
        </w:rPr>
        <w:t xml:space="preserve">Quiero </w:t>
      </w:r>
      <w:r>
        <w:t xml:space="preserve">aprobar el alta final</w:t>
      </w:r>
    </w:p>
    <w:p>
      <w:pPr>
        <w:spacing w:after="120"/>
      </w:pPr>
      <w:r>
        <w:rPr>
          <w:b/>
          <w:bCs/>
        </w:rPr>
        <w:t xml:space="preserve">Para </w:t>
      </w:r>
      <w:r>
        <w:t xml:space="preserve">cerrar la decisión de Compliance y disparar el siguiente paso (CVU para PF, definición de firmantes para PJ)</w:t>
      </w:r>
    </w:p>
    <w:p>
      <w:pPr>
        <w:spacing w:after="60"/>
      </w:pPr>
      <w:r>
        <w:rPr>
          <w:b/>
          <w:bCs/>
        </w:rPr>
        <w:t xml:space="preserve">Criterios de aceptación:</w:t>
      </w:r>
    </w:p>
    <w:p>
      <w:pPr>
        <w:pStyle w:val="ListParagraph"/>
        <w:numPr>
          <w:ilvl w:val="0"/>
          <w:numId w:val="2"/>
        </w:numPr>
      </w:pPr>
      <w:r>
        <w:t xml:space="preserve">Solo nivel_1 puede aprobar. Nivel_2 / nivel_3 no ven el botón.</w:t>
      </w:r>
    </w:p>
    <w:p>
      <w:pPr>
        <w:pStyle w:val="ListParagraph"/>
        <w:numPr>
          <w:ilvl w:val="0"/>
          <w:numId w:val="2"/>
        </w:numPr>
      </w:pPr>
      <w:r>
        <w:t xml:space="preserve">El comportamiento difiere por tipo de titular:</w:t>
      </w:r>
    </w:p>
    <w:p>
      <w:pPr>
        <w:pStyle w:val="ListParagraph"/>
        <w:numPr>
          <w:ilvl w:val="1"/>
          <w:numId w:val="2"/>
        </w:numPr>
      </w:pPr>
      <w:r>
        <w:t xml:space="preserve">Persona Humana / PF: el estado pasa a “aprobada” (vista cliente: “Aceptada”). Se dispara automáticamente el flujo de asignación de CVU (proyecto separado, fuera de alcance de este PRD). El alta queda cerrada por Compliance.</w:t>
      </w:r>
    </w:p>
    <w:p>
      <w:pPr>
        <w:pStyle w:val="ListParagraph"/>
        <w:numPr>
          <w:ilvl w:val="1"/>
          <w:numId w:val="2"/>
        </w:numPr>
      </w:pPr>
      <w:r>
        <w:t xml:space="preserve">Persona Jurídica / PJ: el estado pasa a “aprobada – pendiente firmas” (vista cliente: “Aceptada pendiente de firma”). El alta NO está completa hasta que el oficial defina los firmantes (HU-14) y se completen todas las firmas del contrato de adhesión vía Signatura (HU-15). El CVU no se dispara en este punto.</w:t>
      </w:r>
    </w:p>
    <w:p>
      <w:pPr>
        <w:pStyle w:val="ListParagraph"/>
        <w:numPr>
          <w:ilvl w:val="0"/>
          <w:numId w:val="2"/>
        </w:numPr>
      </w:pPr>
      <w:r>
        <w:t xml:space="preserve">Se genera log con tipo_accion = ‘alta_aprobada’. Si hubo excepciones documentales, queda explícito en el log y en el resumen (tipo_accion adicional ‘alta_excepcion_docs’).</w:t>
      </w:r>
    </w:p>
    <w:p>
      <w:pPr>
        <w:pStyle w:val="ListParagraph"/>
        <w:numPr>
          <w:ilvl w:val="0"/>
          <w:numId w:val="2"/>
        </w:numPr>
      </w:pPr>
      <w:r>
        <w:t xml:space="preserve">Tras aprobar una PJ, el sistema lleva al oficial directamente a la pantalla de definición de firmantes (HU-14). Tras aprobar una PF, no hay paso adicional desde Compliance.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Definir firmantes obligatorios para el contrato de adhesión (PJ)</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definir qué personas vinculadas a la sociedad deben firmar el contrato de adhesión y con qué tipo de firma (individual / conjunta)</w:t>
      </w:r>
    </w:p>
    <w:p>
      <w:pPr>
        <w:spacing w:after="120"/>
      </w:pPr>
      <w:r>
        <w:rPr>
          <w:b/>
          <w:bCs/>
        </w:rPr>
        <w:t xml:space="preserve">Para </w:t>
      </w:r>
      <w:r>
        <w:t xml:space="preserve">que Signatura inicie el flujo de firmas con la lista correcta de firmantes obligatorios y, una vez completas, el alta pueda pasar a estado “aceptada” y dispararse la asignación de CVU</w:t>
      </w:r>
    </w:p>
    <w:p>
      <w:pPr>
        <w:spacing w:after="60"/>
      </w:pPr>
      <w:r>
        <w:rPr>
          <w:b/>
          <w:bCs/>
        </w:rPr>
        <w:t xml:space="preserve">Criterios de aceptación:</w:t>
      </w:r>
    </w:p>
    <w:p>
      <w:pPr>
        <w:pStyle w:val="ListParagraph"/>
        <w:numPr>
          <w:ilvl w:val="0"/>
          <w:numId w:val="2"/>
        </w:numPr>
      </w:pPr>
      <w:r>
        <w:t xml:space="preserve">Aplica solo a Persona Jurídica (SA, SRL, SH, sucesión). No aplica a Persona Humana / PF.</w:t>
      </w:r>
    </w:p>
    <w:p>
      <w:pPr>
        <w:pStyle w:val="ListParagraph"/>
        <w:numPr>
          <w:ilvl w:val="0"/>
          <w:numId w:val="2"/>
        </w:numPr>
      </w:pPr>
      <w:r>
        <w:t xml:space="preserve">Solo nivel_1 puede definir firmantes. Nivel_2 / nivel_3 pueden ver pero no editar.</w:t>
      </w:r>
    </w:p>
    <w:p>
      <w:pPr>
        <w:pStyle w:val="ListParagraph"/>
        <w:numPr>
          <w:ilvl w:val="0"/>
          <w:numId w:val="2"/>
        </w:numPr>
      </w:pPr>
      <w:r>
        <w:t xml:space="preserve">La pantalla muestra todas las personas cargadas en la sección Personas (paso 2). El oficial marca cuáles son firmantes obligatorios del contrato de adhesión.</w:t>
      </w:r>
    </w:p>
    <w:p>
      <w:pPr>
        <w:pStyle w:val="ListParagraph"/>
        <w:numPr>
          <w:ilvl w:val="0"/>
          <w:numId w:val="2"/>
        </w:numPr>
      </w:pPr>
      <w:r>
        <w:t xml:space="preserve">Para cada firmante, el oficial define el tipo de firma (individual / conjunta / obligatoria_casos) y, si aplica, los casos. Esta selección se reusa de la información cargada en HU-05 cuando ya estaba precargada.</w:t>
      </w:r>
    </w:p>
    <w:p>
      <w:pPr>
        <w:pStyle w:val="ListParagraph"/>
        <w:numPr>
          <w:ilvl w:val="0"/>
          <w:numId w:val="2"/>
        </w:numPr>
      </w:pPr>
      <w:r>
        <w:t xml:space="preserve">Reglas mínimas:</w:t>
      </w:r>
    </w:p>
    <w:p>
      <w:pPr>
        <w:pStyle w:val="ListParagraph"/>
        <w:numPr>
          <w:ilvl w:val="1"/>
          <w:numId w:val="2"/>
        </w:numPr>
      </w:pPr>
      <w:r>
        <w:t xml:space="preserve">Debe haber al menos un firmante obligatorio.</w:t>
      </w:r>
    </w:p>
    <w:p>
      <w:pPr>
        <w:pStyle w:val="ListParagraph"/>
        <w:numPr>
          <w:ilvl w:val="1"/>
          <w:numId w:val="2"/>
        </w:numPr>
      </w:pPr>
      <w:r>
        <w:t xml:space="preserve">Sucesiones con tipo_firma = “Firma conjunta herederos” deben listar a todos los herederos como firmantes.</w:t>
      </w:r>
    </w:p>
    <w:p>
      <w:pPr>
        <w:pStyle w:val="ListParagraph"/>
        <w:numPr>
          <w:ilvl w:val="1"/>
          <w:numId w:val="2"/>
        </w:numPr>
      </w:pPr>
      <w:r>
        <w:t xml:space="preserve">Sucesiones con “Administrador único” con facultad de firma habilitada (clave PSP en la HU del paso 2) deben tener al administrador como firmante único.</w:t>
      </w:r>
    </w:p>
    <w:p>
      <w:pPr>
        <w:pStyle w:val="ListParagraph"/>
        <w:numPr>
          <w:ilvl w:val="0"/>
          <w:numId w:val="2"/>
        </w:numPr>
      </w:pPr>
      <w:r>
        <w:t xml:space="preserve">Al confirmar la lista de firmantes, el sistema envía a Signatura el contrato de adhesión + firmantes (ver 03_signatura_conexion.md). El estado del alta queda en “aprobada – pendiente firmas”.</w:t>
      </w:r>
    </w:p>
    <w:p>
      <w:pPr>
        <w:pStyle w:val="ListParagraph"/>
        <w:numPr>
          <w:ilvl w:val="0"/>
          <w:numId w:val="2"/>
        </w:numPr>
      </w:pPr>
      <w:r>
        <w:t xml:space="preserve">Se genera log con tipo_accion = ‘firmantes_definidos’, listando los firmantes y su tipo de firma.</w:t>
      </w:r>
    </w:p>
    <w:p>
      <w:pPr>
        <w:pStyle w:val="ListParagraph"/>
        <w:numPr>
          <w:ilvl w:val="0"/>
          <w:numId w:val="2"/>
        </w:numPr>
      </w:pPr>
      <w:r>
        <w:t xml:space="preserve">El oficial puede editar la lista de firmantes mientras el alta sigue en “pendiente firmas” y ninguna firma del contrato se haya completado todavía; cualquier modificación posterior requiere reiniciar el flujo de firma en Signatura. La integración técnica con Signatura está fuera de alcance de este PRD.</w:t>
      </w:r>
    </w:p>
    <w:p>
      <w:pPr>
        <w:spacing w:after="80" w:before="160"/>
      </w:pPr>
      <w:r>
        <w:rPr>
          <w:b/>
          <w:bCs/>
          <w:color w:val="5B5B5B"/>
        </w:rPr>
        <w:t xml:space="preserve">Contexto: </w:t>
      </w:r>
      <w:r>
        <w:rPr>
          <w:i/>
          <w:iCs/>
        </w:rPr>
        <w:t xml:space="preserve">Una vez enviado el contrato a Signatura, el oficial necesita poder ver el estado de las firmas y, cuando todas estén completas, cerrar el alta para disparar la asignación del CVU.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Tracking de firmas y cierre del alta (PJ)</w:t>
            </w:r>
          </w:p>
        </w:tc>
      </w:tr>
    </w:tbl>
    <w:p>
      <w:pPr>
        <w:spacing w:after="40" w:before="120"/>
      </w:pPr>
      <w:r>
        <w:rPr>
          <w:b/>
          <w:bCs/>
        </w:rPr>
        <w:t xml:space="preserve">Como </w:t>
      </w:r>
      <w:r>
        <w:t xml:space="preserve">Oficial de Cumplimiento (nivel_1) o Analista</w:t>
      </w:r>
    </w:p>
    <w:p>
      <w:pPr>
        <w:spacing w:after="40"/>
      </w:pPr>
      <w:r>
        <w:rPr>
          <w:b/>
          <w:bCs/>
        </w:rPr>
        <w:t xml:space="preserve">Quiero </w:t>
      </w:r>
      <w:r>
        <w:t xml:space="preserve">ver el estado de las firmas pendientes del contrato de adhesión y, cuando todas estén completas, ver que el alta se cierra automáticamente</w:t>
      </w:r>
    </w:p>
    <w:p>
      <w:pPr>
        <w:spacing w:after="120"/>
      </w:pPr>
      <w:r>
        <w:rPr>
          <w:b/>
          <w:bCs/>
        </w:rPr>
        <w:t xml:space="preserve">Para </w:t>
      </w:r>
      <w:r>
        <w:t xml:space="preserve">tener trazabilidad del cierre final del alta y poder responder al cliente sobre el estado de su solicitud</w:t>
      </w:r>
    </w:p>
    <w:p>
      <w:pPr>
        <w:spacing w:after="60"/>
      </w:pPr>
      <w:r>
        <w:rPr>
          <w:b/>
          <w:bCs/>
        </w:rPr>
        <w:t xml:space="preserve">Criterios de aceptación:</w:t>
      </w:r>
    </w:p>
    <w:p>
      <w:pPr>
        <w:pStyle w:val="ListParagraph"/>
        <w:numPr>
          <w:ilvl w:val="0"/>
          <w:numId w:val="2"/>
        </w:numPr>
      </w:pPr>
      <w:r>
        <w:t xml:space="preserve">Aplica solo a PJ. No aplica a PF (que cierra automáticamente al aprobarse en HU-13).</w:t>
      </w:r>
    </w:p>
    <w:p>
      <w:pPr>
        <w:pStyle w:val="ListParagraph"/>
        <w:numPr>
          <w:ilvl w:val="0"/>
          <w:numId w:val="2"/>
        </w:numPr>
      </w:pPr>
      <w:r>
        <w:t xml:space="preserve">En el detalle del alta, mientras el estado es “aprobada – pendiente firmas”, se muestra:</w:t>
      </w:r>
    </w:p>
    <w:p>
      <w:pPr>
        <w:pStyle w:val="ListParagraph"/>
        <w:numPr>
          <w:ilvl w:val="1"/>
          <w:numId w:val="2"/>
        </w:numPr>
      </w:pPr>
      <w:r>
        <w:t xml:space="preserve">Lista de firmantes con su estado de firma individual: pendiente / firmado / rechazado.</w:t>
      </w:r>
    </w:p>
    <w:p>
      <w:pPr>
        <w:pStyle w:val="ListParagraph"/>
        <w:numPr>
          <w:ilvl w:val="1"/>
          <w:numId w:val="2"/>
        </w:numPr>
      </w:pPr>
      <w:r>
        <w:t xml:space="preserve">Fecha y hora de cada firma cuando aplica.</w:t>
      </w:r>
    </w:p>
    <w:p>
      <w:pPr>
        <w:pStyle w:val="ListParagraph"/>
        <w:numPr>
          <w:ilvl w:val="1"/>
          <w:numId w:val="2"/>
        </w:numPr>
      </w:pPr>
      <w:r>
        <w:t xml:space="preserve">Link al expediente en Signatura (si aplica).</w:t>
      </w:r>
    </w:p>
    <w:p>
      <w:pPr>
        <w:pStyle w:val="ListParagraph"/>
        <w:numPr>
          <w:ilvl w:val="0"/>
          <w:numId w:val="2"/>
        </w:numPr>
      </w:pPr>
      <w:r>
        <w:t xml:space="preserve">El estado del alta se actualiza automáticamente cuando Signatura notifica eventos (webhook). El detalle de la integración está en 03_signatura_conexion.md y queda fuera de alcance de este PRD.</w:t>
      </w:r>
    </w:p>
    <w:p>
      <w:pPr>
        <w:pStyle w:val="ListParagraph"/>
        <w:numPr>
          <w:ilvl w:val="0"/>
          <w:numId w:val="2"/>
        </w:numPr>
      </w:pPr>
      <w:r>
        <w:t xml:space="preserve">Cuando todas las firmas obligatorias están completas, el sistema cambia automáticamente el estado a “aprobada” (vista cliente: “Aceptada”) y dispara el flujo de asignación de CVU (proyecto separado, fuera de alcance). Se genera log con tipo_accion = ‘alta_completada’.</w:t>
      </w:r>
    </w:p>
    <w:p>
      <w:pPr>
        <w:pStyle w:val="ListParagraph"/>
        <w:numPr>
          <w:ilvl w:val="0"/>
          <w:numId w:val="2"/>
        </w:numPr>
      </w:pPr>
      <w:r>
        <w:t xml:space="preserve">Si un firmante rechaza la firma, el alta queda en “aprobada – pendiente firmas” con alerta visible al oficial; este puede editar la lista de firmantes o reenviar el contrato (HU-14).</w:t>
      </w:r>
    </w:p>
    <w:p>
      <w:pPr>
        <w:pStyle w:val="ListParagraph"/>
        <w:numPr>
          <w:ilvl w:val="0"/>
          <w:numId w:val="2"/>
        </w:numPr>
      </w:pPr>
      <w:r>
        <w:t xml:space="preserve">Si las firmas no se completan dentro de N días configurables, se dispara una alerta automática al oficial.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Rechazar el alta final</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rechazar el alta con un motivo</w:t>
      </w:r>
    </w:p>
    <w:p>
      <w:pPr>
        <w:spacing w:after="120"/>
      </w:pPr>
      <w:r>
        <w:rPr>
          <w:b/>
          <w:bCs/>
        </w:rPr>
        <w:t xml:space="preserve">Para </w:t>
      </w:r>
      <w:r>
        <w:t xml:space="preserve">dejar constancia formal de por qué no procede</w:t>
      </w:r>
    </w:p>
    <w:p>
      <w:pPr>
        <w:spacing w:after="60"/>
      </w:pPr>
      <w:r>
        <w:rPr>
          <w:b/>
          <w:bCs/>
        </w:rPr>
        <w:t xml:space="preserve">Criterios de aceptación:</w:t>
      </w:r>
    </w:p>
    <w:p>
      <w:pPr>
        <w:pStyle w:val="ListParagraph"/>
        <w:numPr>
          <w:ilvl w:val="0"/>
          <w:numId w:val="2"/>
        </w:numPr>
      </w:pPr>
      <w:r>
        <w:t xml:space="preserve">Motivo obligatorio.</w:t>
      </w:r>
    </w:p>
    <w:p>
      <w:pPr>
        <w:pStyle w:val="ListParagraph"/>
        <w:numPr>
          <w:ilvl w:val="0"/>
          <w:numId w:val="2"/>
        </w:numPr>
      </w:pPr>
      <w:r>
        <w:t xml:space="preserve">El estado del alta pasa a “rechazado” (vista cliente: “Rechazado”). Es estado terminal desde la perspectiva del cliente: no puede volver a iniciar el alta para esa sociedad / titular hasta que un administrador resetee manualmente a “Sin solicitud”.</w:t>
      </w:r>
    </w:p>
    <w:p>
      <w:pPr>
        <w:pStyle w:val="ListParagraph"/>
        <w:numPr>
          <w:ilvl w:val="0"/>
          <w:numId w:val="2"/>
        </w:numPr>
      </w:pPr>
      <w:r>
        <w:t xml:space="preserve">Queda log con el motivo y el responsable.</w:t>
      </w:r>
    </w:p>
    <w:p>
      <w:pPr>
        <w:pStyle w:val="ListParagraph"/>
        <w:numPr>
          <w:ilvl w:val="0"/>
          <w:numId w:val="2"/>
        </w:numPr>
      </w:pPr>
      <w:r>
        <w:t xml:space="preserve">Se notifica al cliente desde el front (out of scope de este PRD).</w:t>
      </w:r>
    </w:p>
    <w:p>
      <w:pPr>
        <w:spacing w:after="80"/>
      </w:pPr>
      <w:r>
        <w:t xml:space="preserve"/>
      </w:r>
    </w:p>
    <w:p>
      <w:r>
        <w:br w:type="page"/>
      </w:r>
    </w:p>
    <w:p>
      <w:pPr>
        <w:pStyle w:val="Heading1"/>
      </w:pPr>
      <w:r>
        <w:t xml:space="preserve">5. Requisitos no funcionales</w:t>
      </w:r>
    </w:p>
    <w:p>
      <w:pPr>
        <w:pStyle w:val="ListParagraph"/>
        <w:numPr>
          <w:ilvl w:val="0"/>
          <w:numId w:val="2"/>
        </w:numPr>
      </w:pPr>
      <w:r>
        <w:t xml:space="preserve">Trazabilidad: toda decisión sobre documento, dato o estado debe quedar registrada en logs_acciones con id_usuario_interno, IP y timestamp.</w:t>
      </w:r>
    </w:p>
    <w:p>
      <w:pPr>
        <w:pStyle w:val="ListParagraph"/>
        <w:numPr>
          <w:ilvl w:val="0"/>
          <w:numId w:val="2"/>
        </w:numPr>
      </w:pPr>
      <w:r>
        <w:t xml:space="preserve">Seguridad: roles aplicados a nivel middleware del backend; nunca confiar solo en la UI.</w:t>
      </w:r>
    </w:p>
    <w:p>
      <w:pPr>
        <w:pStyle w:val="ListParagraph"/>
        <w:numPr>
          <w:ilvl w:val="0"/>
          <w:numId w:val="2"/>
        </w:numPr>
      </w:pPr>
      <w:r>
        <w:t xml:space="preserve">Integridad: máquina de estados explícita para cliente y documento; transiciones inválidas deben rechazarse en backend.</w:t>
      </w:r>
    </w:p>
    <w:p>
      <w:pPr>
        <w:pStyle w:val="ListParagraph"/>
        <w:numPr>
          <w:ilvl w:val="0"/>
          <w:numId w:val="2"/>
        </w:numPr>
      </w:pPr>
      <w:r>
        <w:t xml:space="preserve">Persistencia de borradores: el paso 2 debe persistir cambios al menos cada 30 segundos o en cada blur de campo crítico.</w:t>
      </w:r>
    </w:p>
    <w:p>
      <w:pPr>
        <w:pStyle w:val="ListParagraph"/>
        <w:numPr>
          <w:ilvl w:val="0"/>
          <w:numId w:val="2"/>
        </w:numPr>
      </w:pPr>
      <w:r>
        <w:t xml:space="preserve">Performance: la lista de altas pendientes (H1) debe paginar y soportar al menos 1.000 altas pendientes sin degradación.</w:t>
      </w:r>
    </w:p>
    <w:p>
      <w:pPr>
        <w:pStyle w:val="ListParagraph"/>
        <w:numPr>
          <w:ilvl w:val="0"/>
          <w:numId w:val="2"/>
        </w:numPr>
      </w:pPr>
      <w:r>
        <w:t xml:space="preserve">Auditoría: logs no se borran nunca; baja lógica únicamente.</w:t>
      </w:r>
    </w:p>
    <w:p>
      <w:pPr>
        <w:pStyle w:val="Heading1"/>
      </w:pPr>
      <w:r>
        <w:t xml:space="preserve">6. Métricas de éxito</w:t>
      </w:r>
    </w:p>
    <w:p>
      <w:pPr>
        <w:pStyle w:val="ListParagraph"/>
        <w:numPr>
          <w:ilvl w:val="0"/>
          <w:numId w:val="2"/>
        </w:numPr>
      </w:pPr>
      <w:r>
        <w:t xml:space="preserve">Tiempo medio de procesamiento de un alta (desde trigger hasta aprobación).</w:t>
      </w:r>
    </w:p>
    <w:p>
      <w:pPr>
        <w:pStyle w:val="ListParagraph"/>
        <w:numPr>
          <w:ilvl w:val="0"/>
          <w:numId w:val="2"/>
        </w:numPr>
      </w:pPr>
      <w:r>
        <w:t xml:space="preserve">% de altas aprobadas vs rechazadas.</w:t>
      </w:r>
    </w:p>
    <w:p>
      <w:pPr>
        <w:pStyle w:val="ListParagraph"/>
        <w:numPr>
          <w:ilvl w:val="0"/>
          <w:numId w:val="2"/>
        </w:numPr>
      </w:pPr>
      <w:r>
        <w:t xml:space="preserve">% de altas que avanzan con excepción documental.</w:t>
      </w:r>
    </w:p>
    <w:p>
      <w:pPr>
        <w:pStyle w:val="ListParagraph"/>
        <w:numPr>
          <w:ilvl w:val="0"/>
          <w:numId w:val="2"/>
        </w:numPr>
      </w:pPr>
      <w:r>
        <w:t xml:space="preserve">% de documentos rechazados (indicador de calidad de la carga del cliente).</w:t>
      </w:r>
    </w:p>
    <w:p>
      <w:pPr>
        <w:pStyle w:val="ListParagraph"/>
        <w:numPr>
          <w:ilvl w:val="0"/>
          <w:numId w:val="2"/>
        </w:numPr>
      </w:pPr>
      <w:r>
        <w:t xml:space="preserve">Tiempo dedicado por paso (paso 1 vs paso 2 vs paso 3 vs paso 4).</w:t>
      </w:r>
    </w:p>
    <w:p>
      <w:pPr>
        <w:pStyle w:val="ListParagraph"/>
        <w:numPr>
          <w:ilvl w:val="0"/>
          <w:numId w:val="2"/>
        </w:numPr>
      </w:pPr>
      <w:r>
        <w:t xml:space="preserve">% de recálculos de riesgo por edición tardía en paso 4.</w:t>
      </w:r>
    </w:p>
    <w:p>
      <w:pPr>
        <w:pStyle w:val="Heading1"/>
      </w:pPr>
      <w:r>
        <w:t xml:space="preserve">7. Riesgos y edge cases</w:t>
      </w:r>
    </w:p>
    <w:p>
      <w:pPr>
        <w:pStyle w:val="ListParagraph"/>
        <w:numPr>
          <w:ilvl w:val="0"/>
          <w:numId w:val="2"/>
        </w:numPr>
      </w:pPr>
      <w:r>
        <w:t xml:space="preserve">Cliente que carga documentos sin completar todos los obligatorios desde el front: el alta llega 'incompleta' y H1 debe mostrarla con su contador real.</w:t>
      </w:r>
    </w:p>
    <w:p>
      <w:pPr>
        <w:pStyle w:val="ListParagraph"/>
        <w:numPr>
          <w:ilvl w:val="0"/>
          <w:numId w:val="2"/>
        </w:numPr>
      </w:pPr>
      <w:r>
        <w:t xml:space="preserve">Cliente que vuelve a cargar un documento mientras el admin lo está revisando: el sistema debe versionar y avisar al admin que existe una versión más nueva.</w:t>
      </w:r>
    </w:p>
    <w:p>
      <w:pPr>
        <w:pStyle w:val="ListParagraph"/>
        <w:numPr>
          <w:ilvl w:val="0"/>
          <w:numId w:val="2"/>
        </w:numPr>
      </w:pPr>
      <w:r>
        <w:t xml:space="preserve">Persona que figura en DCAC con datos desactualizados: el admin puede sobreescribir, pero queda log.</w:t>
      </w:r>
    </w:p>
    <w:p>
      <w:pPr>
        <w:pStyle w:val="ListParagraph"/>
        <w:numPr>
          <w:ilvl w:val="0"/>
          <w:numId w:val="2"/>
        </w:numPr>
      </w:pPr>
      <w:r>
        <w:t xml:space="preserve">CUIT duplicado: si llega un alta para un CUIT ya existente con estado 'aprobado', mostrar warning y opción de revisión periódica en lugar de alta nueva.</w:t>
      </w:r>
    </w:p>
    <w:p>
      <w:pPr>
        <w:pStyle w:val="ListParagraph"/>
        <w:numPr>
          <w:ilvl w:val="0"/>
          <w:numId w:val="2"/>
        </w:numPr>
      </w:pPr>
      <w:r>
        <w:t xml:space="preserve">Alta abandonada: si el paso 2 queda en borrador más de N días, alerta automática al oficial.</w:t>
      </w:r>
    </w:p>
    <w:p>
      <w:pPr>
        <w:pStyle w:val="ListParagraph"/>
        <w:numPr>
          <w:ilvl w:val="0"/>
          <w:numId w:val="2"/>
        </w:numPr>
      </w:pPr>
      <w:r>
        <w:t xml:space="preserve">Modificación de un alta ya aprobada: solo se permite alta nueva o re-evaluación periódica; no edición directa.</w:t>
      </w:r>
    </w:p>
    <w:p>
      <w:pPr>
        <w:pStyle w:val="Heading1"/>
      </w:pPr>
      <w:r>
        <w:t xml:space="preserve">8. Referencias</w:t>
      </w:r>
    </w:p>
    <w:p>
      <w:pPr>
        <w:pStyle w:val="ListParagraph"/>
        <w:numPr>
          <w:ilvl w:val="0"/>
          <w:numId w:val="2"/>
        </w:numPr>
      </w:pPr>
      <w:r>
        <w:t xml:space="preserve">backend/migrations/001_create_tables.sql — tablas y enums.</w:t>
      </w:r>
    </w:p>
    <w:p>
      <w:pPr>
        <w:pStyle w:val="ListParagraph"/>
        <w:numPr>
          <w:ilvl w:val="0"/>
          <w:numId w:val="2"/>
        </w:numPr>
      </w:pPr>
      <w:r>
        <w:t xml:space="preserve">backend/migrations/002_riesgo_sociedad.sql — matriz de riesgo.</w:t>
      </w:r>
    </w:p>
    <w:p>
      <w:pPr>
        <w:pStyle w:val="ListParagraph"/>
        <w:numPr>
          <w:ilvl w:val="0"/>
          <w:numId w:val="2"/>
        </w:numPr>
      </w:pPr>
      <w:r>
        <w:t xml:space="preserve">backend/src/controllers/altaController.js — flujo de alta.</w:t>
      </w:r>
    </w:p>
    <w:p>
      <w:pPr>
        <w:pStyle w:val="ListParagraph"/>
        <w:numPr>
          <w:ilvl w:val="0"/>
          <w:numId w:val="2"/>
        </w:numPr>
      </w:pPr>
      <w:r>
        <w:t xml:space="preserve">backend/src/controllers/clientController.js — CRUD cliente.</w:t>
      </w:r>
    </w:p>
    <w:p>
      <w:pPr>
        <w:pStyle w:val="ListParagraph"/>
        <w:numPr>
          <w:ilvl w:val="0"/>
          <w:numId w:val="2"/>
        </w:numPr>
      </w:pPr>
      <w:r>
        <w:t xml:space="preserve">backend/src/controllers/documentoController.js — transiciones de documento.</w:t>
      </w:r>
    </w:p>
    <w:p>
      <w:pPr>
        <w:pStyle w:val="ListParagraph"/>
        <w:numPr>
          <w:ilvl w:val="0"/>
          <w:numId w:val="2"/>
        </w:numPr>
      </w:pPr>
      <w:r>
        <w:t xml:space="preserve">backend/src/services/validationService.js — validación documental.</w:t>
      </w:r>
    </w:p>
    <w:p>
      <w:pPr>
        <w:pStyle w:val="ListParagraph"/>
        <w:numPr>
          <w:ilvl w:val="0"/>
          <w:numId w:val="2"/>
        </w:numPr>
      </w:pPr>
      <w:r>
        <w:t xml:space="preserve">backend/src/services/riskService.js — cálculo de riesgo.</w:t>
      </w:r>
    </w:p>
    <w:p>
      <w:pPr>
        <w:pStyle w:val="ListParagraph"/>
        <w:numPr>
          <w:ilvl w:val="0"/>
          <w:numId w:val="2"/>
        </w:numPr>
      </w:pPr>
      <w:r>
        <w:t xml:space="preserve">HU_Compliance.docx — historias de usuario completas.</w:t>
      </w:r>
    </w:p>
    <w:p>
      <w:pPr>
        <w:pStyle w:val="ListParagraph"/>
        <w:numPr>
          <w:ilvl w:val="0"/>
          <w:numId w:val="2"/>
        </w:numPr>
      </w:pPr>
      <w:r>
        <w:t xml:space="preserve">Logica_Estados_Decisiones_Backend.docx — máquina de estados actual.</w:t>
      </w:r>
    </w:p>
    <w:p>
      <w:pPr>
        <w:pStyle w:val="ListParagraph"/>
        <w:numPr>
          <w:ilvl w:val="0"/>
          <w:numId w:val="2"/>
        </w:numPr>
      </w:pPr>
      <w:r>
        <w:t xml:space="preserve">PRD_alta_usuario_psp.docx — PRD client-facing del flujo de alta de usuario en la PSP de deCampoaCampo. Es el espejo de este documento desde la vista cliente. La máquina de estados de ambos PRDs debe quedar siempre alineada (ver sección 1.2 Mapping de estados).</w:t>
      </w:r>
    </w:p>
    <w:p>
      <w:pPr>
        <w:pStyle w:val="ListParagraph"/>
        <w:numPr>
          <w:ilvl w:val="0"/>
          <w:numId w:val="2"/>
        </w:numPr>
      </w:pPr>
      <w:r>
        <w:t xml:space="preserve">00_context/06_decampopagos/02_psp.md — contexto general de la PSP.</w:t>
      </w:r>
    </w:p>
    <w:p>
      <w:pPr>
        <w:pStyle w:val="ListParagraph"/>
        <w:numPr>
          <w:ilvl w:val="0"/>
          <w:numId w:val="2"/>
        </w:numPr>
      </w:pPr>
      <w:r>
        <w:t xml:space="preserve">00_context/06_decampopagos/03_signatura_conexion.md — integración técnica con Signatura para el flujo de firmas del contrato de adhesión.</w:t>
      </w:r>
    </w:p>
    <w:p>
      <w:pPr>
        <w:pStyle w:val="ListParagraph"/>
        <w:numPr>
          <w:ilvl w:val="0"/>
          <w:numId w:val="2"/>
        </w:numPr>
      </w:pPr>
      <w:r>
        <w:t xml:space="preserve">00_context/06_decampopagos/04_signatura_compliance.md — contexto desde la perspectiva de Compliance: carga del contrato y definición de firmantes.</w:t>
      </w:r>
    </w:p>
    <w:p>
      <w:pPr>
        <w:pStyle w:val="ListParagraph"/>
        <w:numPr>
          <w:ilvl w:val="0"/>
          <w:numId w:val="2"/>
        </w:numPr>
      </w:pPr>
      <w:r>
        <w:t xml:space="preserve">PRD 4iDigital (proyecto separado, ongoing) — integración para la validación biométrica de identidad en el front del cliente PF.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A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Proceso de alta de cliente</dc:title>
  <dc:creator>Compliance HC DCAC</dc:creator>
  <cp:lastModifiedBy>Un-named</cp:lastModifiedBy>
  <cp:revision>1</cp:revision>
  <dcterms:created xsi:type="dcterms:W3CDTF">2026-04-29T14:12:52.150Z</dcterms:created>
  <dcterms:modified xsi:type="dcterms:W3CDTF">2026-04-29T14:12:52.152Z</dcterms:modified>
</cp:coreProperties>
</file>

<file path=docProps/custom.xml><?xml version="1.0" encoding="utf-8"?>
<Properties xmlns="http://schemas.openxmlformats.org/officeDocument/2006/custom-properties" xmlns:vt="http://schemas.openxmlformats.org/officeDocument/2006/docPropsVTypes"/>
</file>