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PSP cliente final: el productor. Es el usuario que opera con la plataforma desde la vista cliente (front). En este PRD se referencia indistintamente como "cliente", "cliente final" o "productor".</w:t>
      </w:r>
    </w:p>
    <w:p>
      <w:pPr>
        <w:pStyle w:val="ListParagraph"/>
        <w:numPr>
          <w:ilvl w:val="0"/>
          <w:numId w:val="2"/>
        </w:numPr>
      </w:pPr>
      <w:r>
        <w:t xml:space="preserve">PSP cliente interno: el administrador / oficial de cumplimiento / analista de Compliance que opera desde la vista administrador (back-office).</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Definición del Problema</w:t>
      </w:r>
    </w:p>
    <w:p>
      <w:pPr>
        <w:pStyle w:val="Heading2"/>
      </w:pPr>
      <w:r>
        <w:t xml:space="preserve">2.1 ¿Para qué?</w:t>
      </w:r>
    </w:p>
    <w:p>
      <w:pPr>
        <w:spacing w:after="120"/>
      </w:pPr>
      <w:r>
        <w:t xml:space="preserve">Esta herramienta resuelve el procesamiento de las altas de cliente disparadas desde el front del cliente final. Hoy ese proceso se gestiona de forma dispersa y sin trazabilidad estandarizada; este PRD especifica un workflow único en 4 pasos para Compliance.</w:t>
      </w:r>
    </w:p>
    <w:p>
      <w:pPr>
        <w:pStyle w:val="ListParagraph"/>
        <w:numPr>
          <w:ilvl w:val="0"/>
          <w:numId w:val="2"/>
        </w:numPr>
      </w:pPr>
      <w:r>
        <w:t xml:space="preserve">Para el equipo de Compliance (cliente interno): contar con una herramienta única donde recibir las altas que dispara el cliente final, revisar la documentación, completar los datos estructurados, calcular el riesgo y aprobar/rechazar el alta. Toda decisión queda registrada con trazabilidad y la información es consultable end-to-end.</w:t>
      </w:r>
    </w:p>
    <w:p>
      <w:pPr>
        <w:pStyle w:val="ListParagraph"/>
        <w:numPr>
          <w:ilvl w:val="0"/>
          <w:numId w:val="2"/>
        </w:numPr>
      </w:pPr>
      <w:r>
        <w:t xml:space="preserve">Para el negocio: garantizar el cumplimiento de la normativa UIF/BCRA en cada alta con controles operativos estandarizados, reduciendo el riesgo regulatorio y el tiempo medio de procesamiento del expediente. La aprobación de Compliance es el gating del alta del CVU del cliente.</w:t>
      </w:r>
    </w:p>
    <w:p>
      <w:pPr>
        <w:pStyle w:val="ListParagraph"/>
        <w:numPr>
          <w:ilvl w:val="0"/>
          <w:numId w:val="2"/>
        </w:numPr>
      </w:pPr>
      <w:r>
        <w:t xml:space="preserve">Para el cliente final (productor): tener un proceso claro y predecible de alta. Aunque la experiencia del cliente vive en el PRD client-facing (PRD_alta_usuario_psp.docx), este PRD garantiza que el back-office responde a esa solicitud con tiempos y controles consistentes.</w:t>
      </w:r>
    </w:p>
    <w:p>
      <w:pPr>
        <w:pStyle w:val="Heading2"/>
      </w:pPr>
      <w:r>
        <w:t xml:space="preserve">2.2 Quiénes son los usuarios</w:t>
      </w:r>
    </w:p>
    <w:p>
      <w:pPr>
        <w:pStyle w:val="ListParagraph"/>
        <w:numPr>
          <w:ilvl w:val="0"/>
          <w:numId w:val="2"/>
        </w:numPr>
      </w:pPr>
      <w:r>
        <w:t xml:space="preserve">Oficial de Cumplimiento (nivel_1): único rol que aprueba/rechaza el alta final, gestiona el riesgo y define firmantes para PJ.</w:t>
      </w:r>
    </w:p>
    <w:p>
      <w:pPr>
        <w:pStyle w:val="ListParagraph"/>
        <w:numPr>
          <w:ilvl w:val="0"/>
          <w:numId w:val="2"/>
        </w:numPr>
      </w:pPr>
      <w:r>
        <w:t xml:space="preserve">Analista senior / Revisor (nivel_2): revisa documentos, observa, rechaza y avanza pasos del alta. No puede aprobar el alta final.</w:t>
      </w:r>
    </w:p>
    <w:p>
      <w:pPr>
        <w:pStyle w:val="ListParagraph"/>
        <w:numPr>
          <w:ilvl w:val="0"/>
          <w:numId w:val="2"/>
        </w:numPr>
      </w:pPr>
      <w:r>
        <w:t xml:space="preserve">Analista junior (nivel_3): carga datos, sube documentos, completa información de personas. No decide sobre el expediente.</w:t>
      </w:r>
    </w:p>
    <w:p>
      <w:r>
        <w:br w:type="page"/>
      </w:r>
    </w:p>
    <w:p>
      <w:pPr>
        <w:pStyle w:val="Heading1"/>
      </w:pPr>
      <w:r>
        <w:t xml:space="preserve">3. Objetivos</w:t>
      </w:r>
    </w:p>
    <w:p>
      <w:pPr>
        <w:pStyle w:val="Heading2"/>
      </w:pPr>
      <w:r>
        <w:t xml:space="preserve">3.1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3.2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3.3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4.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5. Diseño</w:t>
      </w:r>
    </w:p>
    <w:p>
      <w:pPr>
        <w:pStyle w:val="Heading2"/>
      </w:pPr>
      <w:r>
        <w:t xml:space="preserve">5.1 Web</w:t>
      </w:r>
    </w:p>
    <w:p>
      <w:pPr>
        <w:spacing w:after="120"/>
      </w:pPr>
      <w:r>
        <w:t xml:space="preserve">La herramienta de Compliance es exclusivamente web; no tiene versión mobile en V1. El equipo de Compliance opera siempre desde computadora de escritorio en el back-office.</w:t>
      </w:r>
    </w:p>
    <w:p>
      <w:pPr>
        <w:pStyle w:val="ListParagraph"/>
        <w:numPr>
          <w:ilvl w:val="0"/>
          <w:numId w:val="2"/>
        </w:numPr>
      </w:pPr>
      <w:r>
        <w:t xml:space="preserve">Resolución soportada: 1280×720 mínima; recomendada 1440×900 o superior.</w:t>
      </w:r>
    </w:p>
    <w:p>
      <w:pPr>
        <w:pStyle w:val="ListParagraph"/>
        <w:numPr>
          <w:ilvl w:val="0"/>
          <w:numId w:val="2"/>
        </w:numPr>
      </w:pPr>
      <w:r>
        <w:t xml:space="preserve">Compatibilidad: navegadores evergreen (Chrome, Edge, Firefox).</w:t>
      </w:r>
    </w:p>
    <w:p>
      <w:pPr>
        <w:pStyle w:val="ListParagraph"/>
        <w:numPr>
          <w:ilvl w:val="0"/>
          <w:numId w:val="2"/>
        </w:numPr>
      </w:pPr>
      <w:r>
        <w:t xml:space="preserve">Responsive: no se garantiza para tablet ni mobile en V1. La pantalla del paso 2 (3 zonas: visor + form + personas) requiere ancho de escritorio para ser usable.</w:t>
      </w:r>
    </w:p>
    <w:p>
      <w:pPr>
        <w:pStyle w:val="ListParagraph"/>
        <w:numPr>
          <w:ilvl w:val="0"/>
          <w:numId w:val="2"/>
        </w:numPr>
      </w:pPr>
      <w:r>
        <w:t xml:space="preserve">Mockups y flujos detallados: ver Figma del proyecto (link a confirmar y agregar a sección 10. Referencias).</w:t>
      </w:r>
    </w:p>
    <w:p>
      <w:r>
        <w:br w:type="page"/>
      </w:r>
    </w:p>
    <w:p>
      <w:pPr>
        <w:pStyle w:val="Heading1"/>
      </w:pPr>
      <w:r>
        <w:t xml:space="preserve">6. Requisitos funcionales — Historias de Usuario</w:t>
      </w:r>
    </w:p>
    <w:p>
      <w:pPr>
        <w:pStyle w:val="Heading2"/>
      </w:pPr>
      <w:r>
        <w:t xml:space="preserve">6.1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6.2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 no solo monotributista; también puede ser responsable inscripto, profesional independiente, trabajador autónomo o particular.</w:t>
      </w:r>
    </w:p>
    <w:p>
      <w:pPr>
        <w:spacing w:after="120"/>
      </w:pPr>
      <w:r>
        <w:rPr>
          <w:b/>
          <w:bCs/>
          <w:color w:val="C00000"/>
        </w:rPr>
        <w:t xml:space="preserve">Importante: </w:t>
      </w:r>
      <w:r>
        <w:t xml:space="preserve">a diferencia de Persona Jurídica, la Persona Humana / PF NO carga documentación desde el front. Toda la información llega al back-office como datos estructurados (extraídos por 4iDigital o declarados en el formulario del cliente). El admin solo confirma estos datos en el paso 2; no hay carga ni revisión de archivos para PH.</w:t>
      </w:r>
    </w:p>
    <w:p>
      <w:pPr>
        <w:spacing w:after="120"/>
      </w:pPr>
      <w:r>
        <w:t xml:space="preserve">Datos extraídos por 4iDigital (validación biométrica en el front del cliente):</w:t>
      </w:r>
    </w:p>
    <w:p>
      <w:pPr>
        <w:pStyle w:val="ListParagraph"/>
        <w:numPr>
          <w:ilvl w:val="0"/>
          <w:numId w:val="2"/>
        </w:numPr>
      </w:pPr>
      <w:r>
        <w:t xml:space="preserve">DNI Frente (datos provenientes de 4i, no se carga archivo): número de DNI, apellido, nombre, sexo, nacionalidad, fecha de nacimiento, ejemplar.</w:t>
      </w:r>
    </w:p>
    <w:p>
      <w:pPr>
        <w:pStyle w:val="ListParagraph"/>
        <w:numPr>
          <w:ilvl w:val="0"/>
          <w:numId w:val="2"/>
        </w:numPr>
      </w:pPr>
      <w:r>
        <w:t xml:space="preserve">DNI Dorso (datos provenientes de 4i, no se carga archivo): domicilio, fecha de emisión, fecha de vencimiento, número de trámite, ¿DNI vigente?</w:t>
      </w:r>
    </w:p>
    <w:p>
      <w:pPr>
        <w:spacing w:after="120"/>
      </w:pPr>
      <w:r>
        <w:t xml:space="preserve">Datos declarados por el cliente en su formulario:</w:t>
      </w:r>
    </w:p>
    <w:p>
      <w:pPr>
        <w:pStyle w:val="ListParagraph"/>
        <w:numPr>
          <w:ilvl w:val="0"/>
          <w:numId w:val="2"/>
        </w:numPr>
      </w:pPr>
      <w:r>
        <w:t xml:space="preserve">Ocupación (selección única del listado del front del cliente: empleado/a, monotributista, profesional independiente, responsable inscripto, etc.).</w:t>
      </w:r>
    </w:p>
    <w:p>
      <w:pPr>
        <w:pStyle w:val="ListParagraph"/>
        <w:numPr>
          <w:ilvl w:val="0"/>
          <w:numId w:val="2"/>
        </w:numPr>
      </w:pPr>
      <w:r>
        <w:t xml:space="preserve">Condición PEP (declaración Sí / No vía modal en el front del cliente — no se carga documento). Si el cliente declara PEP, el admin lo ve marcado en la pantalla del paso 2 para considerar en la matriz de riesgo.</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6.3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El cálculo es 100% automático y se actualiza en tiempo real cada vez que cambia algún dato fuente del paso 2 (recálculo continuo). El oficial NO puede modificar manualmente los factores ni el puntaje resultante.</w:t>
      </w:r>
    </w:p>
    <w:p>
      <w:pPr>
        <w:pStyle w:val="ListParagraph"/>
        <w:numPr>
          <w:ilvl w:val="0"/>
          <w:numId w:val="2"/>
        </w:numPr>
      </w:pPr>
      <w:r>
        <w:t xml:space="preserve">Factores de la matriz Sociedad (PJ): valor de riesgo, ponderación y origen del dato: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950"/>
        <w:gridCol w:w="950"/>
        <w:gridCol w:w="3800"/>
      </w:tblGrid>
      <w:tr>
        <w:tc>
          <w:tcPr>
            <w:tcW w:type="dxa" w:w="13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Factor</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Valor de riesgo</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alta</w:t>
            </w:r>
          </w:p>
        </w:tc>
        <w:tc>
          <w:tcPr>
            <w:tcW w:type="dxa" w:w="95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Pond. mes a mes</w:t>
            </w:r>
          </w:p>
        </w:tc>
        <w:tc>
          <w:tcPr>
            <w:tcW w:type="dxa" w:w="3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Origen del dato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PEP</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Sí / No (override: si alguna persona vinculada es PEP, la sociedad pasa a riesgo alto, sin importar el resto de los factores)</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N/A (override)</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Carga manual en sección Personas (paso 2): flag PEP por persona vinculada (socio, director, autoridad, administrador, beneficiario final, apoderado, heredero). Con que una sola persona sea PEP, la sociedad ya tiene riesgo alto.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Actividad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agroganadera (asumida)</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45 %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Asumida — no se pregunta ni se obtiene del Estatuto. Se da por supuesto que todos los clientes provienen de la actividad agroganadera, por lo que la actividad es siempre Bajo (1).</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Antigüedad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&lt; 12 meses → Alto (5); 12–24 meses → Medio (3); &gt; 24 meses → Bajo (1)</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0 % (no aplica en onboarding)</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30 % (sugerido)</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Tiempo transcurrido desde el alta del cliente en la plataforma (no desde la fecha de constitución de la sociedad). A menor antigüedad, mayor riesgo, por falta de historial transaccional. No se considera durante los primeros 12 meses post-alta; entra en el recálculo mensual a partir del mes 13.</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Materialidad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45 %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20 % (sugerido)</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Dato de Balance / Estados Contables (paso 2). El analista de Compliance ingresa manualmente las ventas anuales y el sistema deriva el monto mensual esperado: Ventas anuales / 12. Rangos de mapeo a confirmar con Compliance.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Residencialidad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 (Bajo) / 3 (Medio) / 5 (Alto)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10 % (sugerido)</w:t>
            </w:r>
          </w:p>
        </w:tc>
        <w:tc>
          <w:tcPr>
            <w:tcW w:type="dxa" w:w="95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40 % (sugerido — &gt; Antigüedad)</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Domicilio fiscal de la sociedad (campo del Estatuto / Contrato Social / Acuerdo de Constitución, paso 2). Mapeo de jurisdicciones a confirmar con Compliance.</w:t>
            </w:r>
          </w:p>
        </w:tc>
      </w:tr>
    </w:tbl>
    <w:p>
      <w:pPr>
        <w:pStyle w:val="ListParagraph"/>
        <w:numPr>
          <w:ilvl w:val="0"/>
          <w:numId w:val="2"/>
        </w:numPr>
      </w:pPr>
      <w:r>
        <w:t xml:space="preserve">Notas de la matriz Sociedad (PJ):</w:t>
      </w:r>
    </w:p>
    <w:p>
      <w:pPr>
        <w:pStyle w:val="ListParagraph"/>
        <w:numPr>
          <w:ilvl w:val="1"/>
          <w:numId w:val="2"/>
        </w:numPr>
      </w:pPr>
      <w:r>
        <w:t xml:space="preserve">PEP funciona como override binario: con que una persona vinculada esté marcada PEP, la sociedad queda en riesgo alto y no se evalúa la ponderación de los demás factores.</w:t>
      </w:r>
    </w:p>
    <w:p>
      <w:pPr>
        <w:pStyle w:val="ListParagraph"/>
        <w:numPr>
          <w:ilvl w:val="1"/>
          <w:numId w:val="2"/>
        </w:numPr>
      </w:pPr>
      <w:r>
        <w:t xml:space="preserve">Las ponderaciones mostradas son sugeridas y deben confirmarse con Compliance; en cualquier caso deben sumar 100 %. Orden de importancia que respetan: en onboarding, Actividad ≈ Materialidad &gt; Residencialidad &gt; Antigüedad (= 0); mes a mes, Materialidad ≈ Residencialidad &gt; Antigüedad &gt; Actividad. Residencialidad debe tener siempre más peso que Antigüedad.</w:t>
      </w:r>
    </w:p>
    <w:p>
      <w:pPr>
        <w:pStyle w:val="ListParagraph"/>
        <w:numPr>
          <w:ilvl w:val="1"/>
          <w:numId w:val="2"/>
        </w:numPr>
      </w:pPr>
      <w:r>
        <w:t xml:space="preserve">Se elimina nacionalidad como factor independiente — la jurisdicción se evalúa dentro de Residencialidad (domicilio fiscal).</w:t>
      </w:r>
    </w:p>
    <w:p>
      <w:pPr>
        <w:pStyle w:val="ListParagraph"/>
        <w:numPr>
          <w:ilvl w:val="0"/>
          <w:numId w:val="2"/>
        </w:numPr>
      </w:pPr>
      <w:r>
        <w:t xml:space="preserve">Factores de la matriz Persona Humana (PF) y origen de cada dato:</w:t>
      </w:r>
    </w:p>
    <w:p>
      <w:pPr>
        <w:pStyle w:val="ListParagraph"/>
        <w:numPr>
          <w:ilvl w:val="1"/>
          <w:numId w:val="2"/>
        </w:numPr>
      </w:pPr>
      <w:r>
        <w:t xml:space="preserve">es_pep (booleano): viene de la PSP de cara al usuario, vista del cliente final (productor). El productor releva la condición PEP del cliente y la marca desde su vista; ese flag llega al back-office de Compliance. No se carga documento.</w:t>
      </w:r>
    </w:p>
    <w:p>
      <w:pPr>
        <w:pStyle w:val="ListParagraph"/>
        <w:numPr>
          <w:ilvl w:val="1"/>
          <w:numId w:val="2"/>
        </w:numPr>
      </w:pPr>
      <w:r>
        <w:t xml:space="preserve">nacionalidad (1 / 3 / 5): dato extraído por 4iDigital del DNI Frente (campo "Nationality"). Mapeo: Argentina = 1, MERCOSUR = 3, otra jurisdicción = 5 (tabla a confirmar con Compliance). Solo aplica a PF — la matriz Sociedad (PJ) no incluye nacionalidad como factor independiente; la jurisdicción se evalúa dentro de Residencialidad.</w:t>
      </w:r>
    </w:p>
    <w:p>
      <w:pPr>
        <w:pStyle w:val="ListParagraph"/>
        <w:numPr>
          <w:ilvl w:val="1"/>
          <w:numId w:val="2"/>
        </w:numPr>
      </w:pPr>
      <w:r>
        <w:t xml:space="preserve">residencia (1 / 3 / 5): dato extraído por 4iDigital del DNI Dorso (campo "Address" — domicilio del cliente). Mapeo: Argentina = 1, MERCOSUR = 3, otra = 5 (tabla a confirmar con Compliance). En la matriz Sociedad (PJ), el equivalente se llama Residencialidad y se obtiene del domicilio fiscal.</w:t>
      </w:r>
    </w:p>
    <w:p>
      <w:pPr>
        <w:pStyle w:val="ListParagraph"/>
        <w:numPr>
          <w:ilvl w:val="1"/>
          <w:numId w:val="2"/>
        </w:numPr>
      </w:pPr>
      <w:r>
        <w:t xml:space="preserve">actividad (1 / 3 / 5): la carga el propio cliente en el proceso de alta client-facing (campo "ocupación", selección única del listado del front: empleado/a, monotributista, profesional independiente, responsable inscripto, etc.). Mapeo a riesgo UIF a confirmar con Compliance.</w:t>
      </w:r>
    </w:p>
    <w:p>
      <w:pPr>
        <w:pStyle w:val="ListParagraph"/>
        <w:numPr>
          <w:ilvl w:val="1"/>
          <w:numId w:val="2"/>
        </w:numPr>
      </w:pPr>
      <w:r>
        <w:t xml:space="preserve">materialidad (1 / 3 / 5): no se considera durante los primeros 12 meses post-alta porque todavía no hay datos transaccionales. A partir del mes 13, se calcula sobre el monto mensual operado del cliente en la PSP.</w:t>
      </w:r>
    </w:p>
    <w:p>
      <w:pPr>
        <w:pStyle w:val="ListParagraph"/>
        <w:numPr>
          <w:ilvl w:val="1"/>
          <w:numId w:val="2"/>
        </w:numPr>
      </w:pPr>
      <w:r>
        <w:t xml:space="preserve">antigüedad como cliente PSP: no se considera en el onboarding. Entra en la consideración del riesgo a partir de los 12 meses, dentro del recálculo mensual.</w:t>
      </w:r>
    </w:p>
    <w:p>
      <w:pPr>
        <w:pStyle w:val="ListParagraph"/>
        <w:numPr>
          <w:ilvl w:val="0"/>
          <w:numId w:val="2"/>
        </w:numPr>
      </w:pPr>
      <w:r>
        <w:t xml:space="preserve">Periodicidad del cálculo:</w:t>
      </w:r>
    </w:p>
    <w:p>
      <w:pPr>
        <w:pStyle w:val="ListParagraph"/>
        <w:numPr>
          <w:ilvl w:val="1"/>
          <w:numId w:val="2"/>
        </w:numPr>
      </w:pPr>
      <w:r>
        <w:t xml:space="preserve">En el onboarding (alta inicial): el riesgo se calcula con los factores disponibles en ese momento. Para PF, materialidad y antigüedad-como-cliente no aplican todavía.</w:t>
      </w:r>
    </w:p>
    <w:p>
      <w:pPr>
        <w:pStyle w:val="ListParagraph"/>
        <w:numPr>
          <w:ilvl w:val="1"/>
          <w:numId w:val="2"/>
        </w:numPr>
      </w:pPr>
      <w:r>
        <w:t xml:space="preserve">A partir del mes 13: el sistema empieza a recalcular el riesgo mes a mes incorporando materialidad (monto mensual operado en la PSP) y antigüedad como cliente. El recálculo continuo aplica tanto para PF como para PJ.</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(HU-12).</w:t>
      </w:r>
    </w:p>
    <w:p>
      <w:pPr>
        <w:spacing w:after="80"/>
      </w:pPr>
      <w:r>
        <w:t xml:space="preserve"/>
      </w:r>
    </w:p>
    <w:p>
      <w:r>
        <w:br w:type="page"/>
      </w:r>
    </w:p>
    <w:p>
      <w:pPr>
        <w:pStyle w:val="Heading2"/>
      </w:pPr>
      <w:r>
        <w:t xml:space="preserve">6.4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(HU-14) y se completen todas las firmas del contrato de adhesión vía Signatura (HU-15).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(HU-14).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HU-13).</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(HU-14).</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7.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8.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9.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10.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