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y origen de cada dato:</w:t>
      </w:r>
    </w:p>
    <w:p>
      <w:pPr>
        <w:pStyle w:val="ListParagraph"/>
        <w:numPr>
          <w:ilvl w:val="1"/>
          <w:numId w:val="2"/>
        </w:numPr>
      </w:pPr>
      <w:r>
        <w:t xml:space="preserve">es_pep (booleano): se deriva de la sección Personas (paso 2). Si alguna persona vinculada (socio, director, autoridad, administrador, beneficiario final, apoderado o heredero) tiene el flag PEP = Sí, entonces es_pep = true.</w:t>
      </w:r>
    </w:p>
    <w:p>
      <w:pPr>
        <w:pStyle w:val="ListParagraph"/>
        <w:numPr>
          <w:ilvl w:val="1"/>
          <w:numId w:val="2"/>
        </w:numPr>
      </w:pPr>
      <w:r>
        <w:t xml:space="preserve">residencia (1 / 3 / 5): se toma del domicilio social de la sociedad (campo "domicilio" del Estatuto Social / Contrato Social / Acuerdo de Constitución, paso 2). Mapeo: Argentina = 1, MERCOSUR = 3, otra jurisdicción = 5. Tabla detallada a confirmar con Compliance.</w:t>
      </w:r>
    </w:p>
    <w:p>
      <w:pPr>
        <w:pStyle w:val="ListParagraph"/>
        <w:numPr>
          <w:ilvl w:val="1"/>
          <w:numId w:val="2"/>
        </w:numPr>
      </w:pPr>
      <w:r>
        <w:t xml:space="preserve">nacionalidad (1 / 3 / 5): se deriva de la jurisdicción de constitución (CUIT + Estatuto Social). En sucesiones se usa la nacionalidad del causante (declaratoria + DNI). Mapeo: Argentina = 1, MERCOSUR = 3, otra = 5.</w:t>
      </w:r>
    </w:p>
    <w:p>
      <w:pPr>
        <w:pStyle w:val="ListParagraph"/>
        <w:numPr>
          <w:ilvl w:val="1"/>
          <w:numId w:val="2"/>
        </w:numPr>
      </w:pPr>
      <w:r>
        <w:t xml:space="preserve">actividad (1 / 3 / 5): se obtiene desde DCAC (sociedades_tag.actividad) cuando la sociedad ya existe en DCAC; en caso contrario, del campo "objeto / actividad" del Estatuto / Contrato Social del paso 2. Mapeo según tabla de actividades de riesgo UIF (a confirmar con Compliance).</w:t>
      </w:r>
    </w:p>
    <w:p>
      <w:pPr>
        <w:pStyle w:val="ListParagraph"/>
        <w:numPr>
          <w:ilvl w:val="1"/>
          <w:numId w:val="2"/>
        </w:numPr>
      </w:pPr>
      <w:r>
        <w:t xml:space="preserve">antiguedad (1 / 5): calculada como (fecha_actual − fecha_constitucion). Fuente: campo "fecha de constitución" del Estatuto / Contrato Social / Acuerdo de Constitución (paso 2). Mapeo: ≥ 3 años = 1, &lt; 3 años = 5 (umbral a confirmar con Compliance).</w:t>
      </w:r>
    </w:p>
    <w:p>
      <w:pPr>
        <w:pStyle w:val="ListParagraph"/>
        <w:numPr>
          <w:ilvl w:val="1"/>
          <w:numId w:val="2"/>
        </w:numPr>
      </w:pPr>
      <w:r>
        <w:t xml:space="preserve">materialidad (1 / 3 / 5): se deriva del campo "monto de ventas netas (sin IVA)" del Balance / Estados Contables (paso 2). Si la sociedad ya opera, se cruza también con el volumen registrado en DCAC. Rangos a confirmar con Compliance.</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del flag declarado por el cliente en su formulario del front (modal Sí / No de PEP). No se carga documento.</w:t>
      </w:r>
    </w:p>
    <w:p>
      <w:pPr>
        <w:pStyle w:val="ListParagraph"/>
        <w:numPr>
          <w:ilvl w:val="1"/>
          <w:numId w:val="2"/>
        </w:numPr>
      </w:pPr>
      <w:r>
        <w:t xml:space="preserve">nacionalidad (1 / 3 / 5): dato extraído por 4iDigital del DNI Frente (campo "Nationality"). Mapeo análogo al de la matriz Sociedad.</w:t>
      </w:r>
    </w:p>
    <w:p>
      <w:pPr>
        <w:pStyle w:val="ListParagraph"/>
        <w:numPr>
          <w:ilvl w:val="1"/>
          <w:numId w:val="2"/>
        </w:numPr>
      </w:pPr>
      <w:r>
        <w:t xml:space="preserve">residencia (1 / 3 / 5): dato extraído por 4iDigital del DNI Dorso (campo "Address" — provincia / país de residencia). Mapeo análogo al de la matriz Sociedad.</w:t>
      </w:r>
    </w:p>
    <w:p>
      <w:pPr>
        <w:pStyle w:val="ListParagraph"/>
        <w:numPr>
          <w:ilvl w:val="1"/>
          <w:numId w:val="2"/>
        </w:numPr>
      </w:pPr>
      <w:r>
        <w:t xml:space="preserve">actividad (1 / 3 / 5): viene del campo "ocupación" declarado por el cliente en el formulario del front (selección única: empleado/a, monotributista, profesional independiente, responsable inscripto, etc.). Mapeo a riesgo UIF a confirmar con Compliance.</w:t>
      </w:r>
    </w:p>
    <w:p>
      <w:pPr>
        <w:pStyle w:val="ListParagraph"/>
        <w:numPr>
          <w:ilvl w:val="1"/>
          <w:numId w:val="2"/>
        </w:numPr>
      </w:pPr>
      <w:r>
        <w:t xml:space="preserve">antigüedad y materialidad: no aplican directamente para PF en V1; quedan a definir con Compliance si suman al puntaje (por ejemplo, antigüedad como cliente de DCAC, volumen operativo histórico).</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