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3.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 no solo monotributista; también puede ser responsable inscripto, profesional independiente, trabajador autónomo o particular.</w:t>
      </w:r>
    </w:p>
    <w:p>
      <w:pPr>
        <w:spacing w:after="120"/>
      </w:pPr>
      <w:r>
        <w:rPr>
          <w:b/>
          <w:bCs/>
          <w:color w:val="C00000"/>
        </w:rPr>
        <w:t xml:space="preserve">Importante: </w:t>
      </w:r>
      <w:r>
        <w:t xml:space="preserve">a diferencia de Persona Jurídica, la Persona Humana / PF NO carga documentación desde el front. Toda la información llega al back-office como datos estructurados (extraídos por 4iDigital o declarados en el formulario del cliente). El admin solo confirma estos datos en el paso 2; no hay carga ni revisión de archivos para PH.</w:t>
      </w:r>
    </w:p>
    <w:p>
      <w:pPr>
        <w:spacing w:after="120"/>
      </w:pPr>
      <w:r>
        <w:t xml:space="preserve">Datos extraídos por 4iDigital (validación biométrica en el front del cliente):</w:t>
      </w:r>
    </w:p>
    <w:p>
      <w:pPr>
        <w:pStyle w:val="ListParagraph"/>
        <w:numPr>
          <w:ilvl w:val="0"/>
          <w:numId w:val="2"/>
        </w:numPr>
      </w:pPr>
      <w:r>
        <w:t xml:space="preserve">DNI Frente (datos provenientes de 4i, no se carga archivo): número de DNI, apellido, nombre, sexo, nacionalidad, fecha de nacimiento, ejemplar.</w:t>
      </w:r>
    </w:p>
    <w:p>
      <w:pPr>
        <w:pStyle w:val="ListParagraph"/>
        <w:numPr>
          <w:ilvl w:val="0"/>
          <w:numId w:val="2"/>
        </w:numPr>
      </w:pPr>
      <w:r>
        <w:t xml:space="preserve">DNI Dorso (datos provenientes de 4i, no se carga archivo): domicilio, fecha de emisión, fecha de vencimiento, número de trámite, ¿DNI vigente?</w:t>
      </w:r>
    </w:p>
    <w:p>
      <w:pPr>
        <w:spacing w:after="120"/>
      </w:pPr>
      <w:r>
        <w:t xml:space="preserve">Datos declarados por el cliente en su formulario:</w:t>
      </w:r>
    </w:p>
    <w:p>
      <w:pPr>
        <w:pStyle w:val="ListParagraph"/>
        <w:numPr>
          <w:ilvl w:val="0"/>
          <w:numId w:val="2"/>
        </w:numPr>
      </w:pPr>
      <w:r>
        <w:t xml:space="preserve">Ocupación (selección única del listado del front del cliente: empleado/a, monotributista, profesional independiente, responsable inscripto, etc.).</w:t>
      </w:r>
    </w:p>
    <w:p>
      <w:pPr>
        <w:pStyle w:val="ListParagraph"/>
        <w:numPr>
          <w:ilvl w:val="0"/>
          <w:numId w:val="2"/>
        </w:numPr>
      </w:pPr>
      <w:r>
        <w:t xml:space="preserve">Condición PEP (declaración Sí / No vía modal en el front del cliente — no se carga documento). Si el cliente declara PEP, el admin lo ve marcado en la pantalla del paso 2 para considerar en la matriz de riesgo.</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El cálculo es 100% automático y se actualiza en tiempo real cada vez que cambia algún dato fuente del paso 2 (recálculo continuo). El oficial NO puede modificar manualmente los factores ni el puntaje resultante.</w:t>
      </w:r>
    </w:p>
    <w:p>
      <w:pPr>
        <w:pStyle w:val="ListParagraph"/>
        <w:numPr>
          <w:ilvl w:val="0"/>
          <w:numId w:val="2"/>
        </w:numPr>
      </w:pPr>
      <w:r>
        <w:t xml:space="preserve">Factores de la matriz Sociedad (PJ) y origen de cada dato:</w:t>
      </w:r>
    </w:p>
    <w:p>
      <w:pPr>
        <w:pStyle w:val="ListParagraph"/>
        <w:numPr>
          <w:ilvl w:val="1"/>
          <w:numId w:val="2"/>
        </w:numPr>
      </w:pPr>
      <w:r>
        <w:t xml:space="preserve">es_pep (booleano): se deriva de la sección Personas (paso 2). Si alguna persona vinculada (socio, director, autoridad, administrador, beneficiario final, apoderado o heredero) tiene el flag PEP = Sí, entonces es_pep = true.</w:t>
      </w:r>
    </w:p>
    <w:p>
      <w:pPr>
        <w:pStyle w:val="ListParagraph"/>
        <w:numPr>
          <w:ilvl w:val="1"/>
          <w:numId w:val="2"/>
        </w:numPr>
      </w:pPr>
      <w:r>
        <w:t xml:space="preserve">residencia (1 / 3 / 5): se toma del domicilio social de la sociedad (campo "domicilio" del Estatuto Social / Contrato Social / Acuerdo de Constitución, paso 2). Mapeo: Argentina = 1, MERCOSUR = 3, otra jurisdicción = 5. Tabla detallada a confirmar con Compliance.</w:t>
      </w:r>
    </w:p>
    <w:p>
      <w:pPr>
        <w:pStyle w:val="ListParagraph"/>
        <w:numPr>
          <w:ilvl w:val="1"/>
          <w:numId w:val="2"/>
        </w:numPr>
      </w:pPr>
      <w:r>
        <w:t xml:space="preserve">nacionalidad (1 / 3 / 5): se deriva de la jurisdicción de constitución (CUIT + Estatuto Social). En sucesiones se usa la nacionalidad del causante (declaratoria + DNI). Mapeo: Argentina = 1, MERCOSUR = 3, otra = 5.</w:t>
      </w:r>
    </w:p>
    <w:p>
      <w:pPr>
        <w:pStyle w:val="ListParagraph"/>
        <w:numPr>
          <w:ilvl w:val="1"/>
          <w:numId w:val="2"/>
        </w:numPr>
      </w:pPr>
      <w:r>
        <w:t xml:space="preserve">actividad (1 / 3 / 5): se obtiene desde DCAC (sociedades_tag.actividad) cuando la sociedad ya existe en DCAC; en caso contrario, del campo "objeto / actividad" del Estatuto / Contrato Social del paso 2. Mapeo según tabla de actividades de riesgo UIF (a confirmar con Compliance).</w:t>
      </w:r>
    </w:p>
    <w:p>
      <w:pPr>
        <w:pStyle w:val="ListParagraph"/>
        <w:numPr>
          <w:ilvl w:val="1"/>
          <w:numId w:val="2"/>
        </w:numPr>
      </w:pPr>
      <w:r>
        <w:t xml:space="preserve">antiguedad (1 / 5): calculada como (fecha_actual − fecha_constitucion). Fuente: campo "fecha de constitución" del Estatuto / Contrato Social / Acuerdo de Constitución (paso 2). Mapeo: ≥ 3 años = 1, &lt; 3 años = 5 (umbral a confirmar con Compliance).</w:t>
      </w:r>
    </w:p>
    <w:p>
      <w:pPr>
        <w:pStyle w:val="ListParagraph"/>
        <w:numPr>
          <w:ilvl w:val="1"/>
          <w:numId w:val="2"/>
        </w:numPr>
      </w:pPr>
      <w:r>
        <w:t xml:space="preserve">materialidad (1 / 3 / 5): se deriva del campo "monto de ventas netas (sin IVA)" del Balance / Estados Contables (paso 2). Si la sociedad ya opera, se cruza también con el volumen registrado en DCAC. Rangos a confirmar con Compliance.</w:t>
      </w:r>
    </w:p>
    <w:p>
      <w:pPr>
        <w:pStyle w:val="ListParagraph"/>
        <w:numPr>
          <w:ilvl w:val="0"/>
          <w:numId w:val="2"/>
        </w:numPr>
      </w:pPr>
      <w:r>
        <w:t xml:space="preserve">Factores de la matriz Persona Humana (PF) y origen de cada dato:</w:t>
      </w:r>
    </w:p>
    <w:p>
      <w:pPr>
        <w:pStyle w:val="ListParagraph"/>
        <w:numPr>
          <w:ilvl w:val="1"/>
          <w:numId w:val="2"/>
        </w:numPr>
      </w:pPr>
      <w:r>
        <w:t xml:space="preserve">es_pep (booleano): viene de la app client-facing del productor (nombre del app a confirmar con Mari, PO de deCampo Pagos). El productor releva la condición PEP del cliente y la marca desde su app; ese flag llega al back-office de Compliance. No se carga documento.</w:t>
      </w:r>
    </w:p>
    <w:p>
      <w:pPr>
        <w:pStyle w:val="ListParagraph"/>
        <w:numPr>
          <w:ilvl w:val="1"/>
          <w:numId w:val="2"/>
        </w:numPr>
      </w:pPr>
      <w:r>
        <w:t xml:space="preserve">nacionalidad (1 / 3 / 5): dato extraído por 4iDigital del DNI Frente (campo "Nationality"). Mapeo análogo al de la matriz Sociedad.</w:t>
      </w:r>
    </w:p>
    <w:p>
      <w:pPr>
        <w:pStyle w:val="ListParagraph"/>
        <w:numPr>
          <w:ilvl w:val="1"/>
          <w:numId w:val="2"/>
        </w:numPr>
      </w:pPr>
      <w:r>
        <w:t xml:space="preserve">residencia (1 / 3 / 5): dato extraído por 4iDigital del DNI Dorso (campo "Address" — domicilio del cliente). Mapeo análogo al de la matriz Sociedad.</w:t>
      </w:r>
    </w:p>
    <w:p>
      <w:pPr>
        <w:pStyle w:val="ListParagraph"/>
        <w:numPr>
          <w:ilvl w:val="1"/>
          <w:numId w:val="2"/>
        </w:numPr>
      </w:pPr>
      <w:r>
        <w:t xml:space="preserve">actividad (1 / 3 / 5): la carga el propio cliente en el proceso de alta client-facing (campo "ocupación", selección única del listado del front: empleado/a, monotributista, profesional independiente, responsable inscripto, etc.). Mapeo a riesgo UIF a confirmar con Compliance.</w:t>
      </w:r>
    </w:p>
    <w:p>
      <w:pPr>
        <w:pStyle w:val="ListParagraph"/>
        <w:numPr>
          <w:ilvl w:val="1"/>
          <w:numId w:val="2"/>
        </w:numPr>
      </w:pPr>
      <w:r>
        <w:t xml:space="preserve">materialidad (1 / 3 / 5): no se considera durante los primeros 12 meses post-alta porque todavía no hay datos transaccionales. A partir del mes 13, se calcula sobre el monto mensual operado del cliente en la PSP.</w:t>
      </w:r>
    </w:p>
    <w:p>
      <w:pPr>
        <w:pStyle w:val="ListParagraph"/>
        <w:numPr>
          <w:ilvl w:val="1"/>
          <w:numId w:val="2"/>
        </w:numPr>
      </w:pPr>
      <w:r>
        <w:t xml:space="preserve">antigüedad como cliente PSP: no se considera en el onboarding. Entra en la consideración del riesgo a partir de los 12 meses, dentro del recálculo mensual.</w:t>
      </w:r>
    </w:p>
    <w:p>
      <w:pPr>
        <w:pStyle w:val="ListParagraph"/>
        <w:numPr>
          <w:ilvl w:val="0"/>
          <w:numId w:val="2"/>
        </w:numPr>
      </w:pPr>
      <w:r>
        <w:t xml:space="preserve">Periodicidad del cálculo:</w:t>
      </w:r>
    </w:p>
    <w:p>
      <w:pPr>
        <w:pStyle w:val="ListParagraph"/>
        <w:numPr>
          <w:ilvl w:val="1"/>
          <w:numId w:val="2"/>
        </w:numPr>
      </w:pPr>
      <w:r>
        <w:t xml:space="preserve">En el onboarding (alta inicial): el riesgo se calcula con los factores disponibles en ese momento. Para PF, materialidad y antigüedad-como-cliente no aplican todavía.</w:t>
      </w:r>
    </w:p>
    <w:p>
      <w:pPr>
        <w:pStyle w:val="ListParagraph"/>
        <w:numPr>
          <w:ilvl w:val="1"/>
          <w:numId w:val="2"/>
        </w:numPr>
      </w:pPr>
      <w:r>
        <w:t xml:space="preserve">A partir del mes 13: el sistema empieza a recalcular el riesgo mes a mes incorporando materialidad (monto mensual operado en la PSP) y antigüedad como cliente. El recálculo continuo aplica tanto para PF como para PJ.</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(HU-12).</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(HU-14) y se completen todas las firmas del contrato de adhesión vía Signatura (HU-15).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(HU-14).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HU-13).</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(HU-14).</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