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PSP cliente final: el productor. Es el usuario que opera con la plataforma desde la vista cliente (front). En este PRD se referencia indistintamente como "cliente", "cliente final" o "productor".</w:t>
      </w:r>
    </w:p>
    <w:p>
      <w:pPr>
        <w:pStyle w:val="ListParagraph"/>
        <w:numPr>
          <w:ilvl w:val="0"/>
          <w:numId w:val="2"/>
        </w:numPr>
      </w:pPr>
      <w:r>
        <w:t xml:space="preserve">PSP cliente interno: el administrador / oficial de cumplimiento / analista de Compliance que opera desde la vista administrador (back-office).</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valor de riesgo, ponderación y origen del dato: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950"/>
        <w:gridCol w:w="950"/>
        <w:gridCol w:w="3800"/>
      </w:tblGrid>
      <w:tr>
        <w:tc>
          <w:tcPr>
            <w:tcW w:type="dxa" w:w="13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Factor</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Valor de riesgo</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alta</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mes a mes</w:t>
            </w:r>
          </w:p>
        </w:tc>
        <w:tc>
          <w:tcPr>
            <w:tcW w:type="dxa" w:w="3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Origen del dato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PEP</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Sí / No (override: si alguna persona vinculada es PEP, la sociedad pasa a riesgo alto, sin importar el resto de los factores)</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Carga manual en sección Personas (paso 2): flag PEP por persona vinculada (socio, director, autoridad, administrador, beneficiario final, apoderado, heredero). Con que una sola persona sea PEP, la sociedad ya tiene riesgo alto.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Actividad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agroganadera (asumida)</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45 %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Asumida — no se pregunta ni se obtiene del Estatuto. Se da por supuesto que todos los clientes provienen de la actividad agroganadera, por lo que la actividad es siempre Bajo (1).</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Antigüedad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&lt; 12 meses → Alto (5); 12–24 meses → Medio (3); &gt; 24 meses → Bajo (1)</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(no aplica en onboarding)</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30 % (sugerido)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Tiempo transcurrido desde el alta del cliente en la plataforma (no desde la fecha de constitución de la sociedad). A menor antigüedad, mayor riesgo, por falta de historial transaccional. No se considera durante los primeros 12 meses post-alta; entra en el recálculo mensual a partir del mes 13.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Materialidad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45 %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20 % (sugerido)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Dato de Balance / Estados Contables (paso 2). El analista de Compliance ingresa manualmente las ventas anuales y el sistema deriva el monto mensual esperado: Ventas anuales / 12. Rangos de mapeo a confirmar con Compliance.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Residencialidad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40 % (sugerido — &gt; Antigüedad)</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Domicilio fiscal de la sociedad (campo del Estatuto / Contrato Social / Acuerdo de Constitución, paso 2). Mapeo de jurisdicciones a confirmar con Compliance.</w:t>
            </w:r>
          </w:p>
        </w:tc>
      </w:tr>
    </w:tbl>
    <w:p>
      <w:pPr>
        <w:pStyle w:val="ListParagraph"/>
        <w:numPr>
          <w:ilvl w:val="0"/>
          <w:numId w:val="2"/>
        </w:numPr>
      </w:pPr>
      <w:r>
        <w:t xml:space="preserve">Notas de la matriz Sociedad (PJ):</w:t>
      </w:r>
    </w:p>
    <w:p>
      <w:pPr>
        <w:pStyle w:val="ListParagraph"/>
        <w:numPr>
          <w:ilvl w:val="1"/>
          <w:numId w:val="2"/>
        </w:numPr>
      </w:pPr>
      <w:r>
        <w:t xml:space="preserve">PEP funciona como override binario: con que una persona vinculada esté marcada PEP, la sociedad queda en riesgo alto y no se evalúa la ponderación de los demás factores.</w:t>
      </w:r>
    </w:p>
    <w:p>
      <w:pPr>
        <w:pStyle w:val="ListParagraph"/>
        <w:numPr>
          <w:ilvl w:val="1"/>
          <w:numId w:val="2"/>
        </w:numPr>
      </w:pPr>
      <w:r>
        <w:t xml:space="preserve">Las ponderaciones mostradas son sugeridas y deben confirmarse con Compliance; en cualquier caso deben sumar 100 %. Orden de importancia que respetan: en onboarding, Actividad ≈ Materialidad &gt; Residencialidad &gt; Antigüedad (= 0); mes a mes, Materialidad ≈ Residencialidad &gt; Antigüedad &gt; Actividad. Residencialidad debe tener siempre más peso que Antigüedad.</w:t>
      </w:r>
    </w:p>
    <w:p>
      <w:pPr>
        <w:pStyle w:val="ListParagraph"/>
        <w:numPr>
          <w:ilvl w:val="1"/>
          <w:numId w:val="2"/>
        </w:numPr>
      </w:pPr>
      <w:r>
        <w:t xml:space="preserve">Se elimina nacionalidad como factor independiente — la jurisdicción se evalúa dentro de Residencialidad (domicilio fiscal).</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 la app client-facing del productor (nombre del app a confirmar con Mari, PO de deCampo Pagos). El productor releva la condición PEP del cliente y la marca desde su app; ese flag llega al back-office de Compliance. No se carga documento.</w:t>
      </w:r>
    </w:p>
    <w:p>
      <w:pPr>
        <w:pStyle w:val="ListParagraph"/>
        <w:numPr>
          <w:ilvl w:val="1"/>
          <w:numId w:val="2"/>
        </w:numPr>
      </w:pPr>
      <w:r>
        <w:t xml:space="preserve">nacionalidad (1 / 3 / 5): dato extraído por 4iDigital del DNI Frente (campo "Nationality"). Mapeo: Argentina = 1, MERCOSUR = 3, otra jurisdicción = 5 (tabla a confirmar con Compliance). Solo aplica a PF — la matriz Sociedad (PJ) no incluye nacionalidad como factor independiente; la jurisdicción se evalúa dentro de Residencialidad.</w:t>
      </w:r>
    </w:p>
    <w:p>
      <w:pPr>
        <w:pStyle w:val="ListParagraph"/>
        <w:numPr>
          <w:ilvl w:val="1"/>
          <w:numId w:val="2"/>
        </w:numPr>
      </w:pPr>
      <w:r>
        <w:t xml:space="preserve">residencia (1 / 3 / 5): dato extraído por 4iDigital del DNI Dorso (campo "Address" — domicilio del cliente). Mapeo: Argentina = 1, MERCOSUR = 3, otra = 5 (tabla a confirmar con Compliance). En la matriz Sociedad (PJ), el equivalente se llama Residencialidad y se obtiene del domicilio fiscal.</w:t>
      </w:r>
    </w:p>
    <w:p>
      <w:pPr>
        <w:pStyle w:val="ListParagraph"/>
        <w:numPr>
          <w:ilvl w:val="1"/>
          <w:numId w:val="2"/>
        </w:numPr>
      </w:pPr>
      <w:r>
        <w:t xml:space="preserve">actividad (1 / 3 / 5): la carga el propio cliente en el proceso de alta client-facing (campo "ocupación", selección única del listado del front: empleado/a, monotributista, profesional independiente, responsable inscripto, etc.). Mapeo a riesgo UIF a confirmar con Compliance.</w:t>
      </w:r>
    </w:p>
    <w:p>
      <w:pPr>
        <w:pStyle w:val="ListParagraph"/>
        <w:numPr>
          <w:ilvl w:val="1"/>
          <w:numId w:val="2"/>
        </w:numPr>
      </w:pPr>
      <w:r>
        <w:t xml:space="preserve">materialidad (1 / 3 / 5): no se considera durante los primeros 12 meses post-alta porque todavía no hay datos transaccionales. A partir del mes 13, se calcula sobre el monto mensual operado del cliente en la PSP.</w:t>
      </w:r>
    </w:p>
    <w:p>
      <w:pPr>
        <w:pStyle w:val="ListParagraph"/>
        <w:numPr>
          <w:ilvl w:val="1"/>
          <w:numId w:val="2"/>
        </w:numPr>
      </w:pPr>
      <w:r>
        <w:t xml:space="preserve">antigüedad como cliente PSP: no se considera en el onboarding. Entra en la consideración del riesgo a partir de los 12 meses, dentro del recálculo mensual.</w:t>
      </w:r>
    </w:p>
    <w:p>
      <w:pPr>
        <w:pStyle w:val="ListParagraph"/>
        <w:numPr>
          <w:ilvl w:val="0"/>
          <w:numId w:val="2"/>
        </w:numPr>
      </w:pPr>
      <w:r>
        <w:t xml:space="preserve">Periodicidad del cálculo:</w:t>
      </w:r>
    </w:p>
    <w:p>
      <w:pPr>
        <w:pStyle w:val="ListParagraph"/>
        <w:numPr>
          <w:ilvl w:val="1"/>
          <w:numId w:val="2"/>
        </w:numPr>
      </w:pPr>
      <w:r>
        <w:t xml:space="preserve">En el onboarding (alta inicial): el riesgo se calcula con los factores disponibles en ese momento. Para PF, materialidad y antigüedad-como-cliente no aplican todavía.</w:t>
      </w:r>
    </w:p>
    <w:p>
      <w:pPr>
        <w:pStyle w:val="ListParagraph"/>
        <w:numPr>
          <w:ilvl w:val="1"/>
          <w:numId w:val="2"/>
        </w:numPr>
      </w:pPr>
      <w:r>
        <w:t xml:space="preserve">A partir del mes 13: el sistema empieza a recalcular el riesgo mes a mes incorporando materialidad (monto mensual operado en la PSP) y antigüedad como cliente. El recálculo continuo aplica tanto para PF como para PJ.</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