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Correcciones PRD Alta Cliente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Comentarios del documento + reunión con María Obregon (Mari) — 29/05/2026</w:t>
      </w:r>
    </w:p>
    <w:p>
      <w:pPr>
        <w:spacing w:after="120"/>
      </w:pPr>
      <w:r>
        <w:t xml:space="preserve">Base: PRD_Alta_Cliente_VF. Consolida las 13 recomendaciones de la reunión y los 25 comentarios (Marcos Lambertini, María Obregon, Chiara Giralt). Los bloques </w:t>
      </w:r>
      <w:r>
        <w:rPr>
          <w:b/>
          <w:bCs/>
          <w:color w:val="2E75B6"/>
        </w:rPr>
        <w:t xml:space="preserve">Para pegar</w:t>
      </w:r>
      <w:r>
        <w:t xml:space="preserve"> son texto listo para copiar a Google Docs. Los marcados como </w:t>
      </w:r>
      <w:r>
        <w:rPr>
          <w:b/>
          <w:bCs/>
          <w:color w:val="B00020"/>
        </w:rPr>
        <w:t xml:space="preserve">DECISIÓN</w:t>
      </w:r>
      <w:r>
        <w:t xml:space="preserve"> requieren que definas vos el contenido antes de pasarlo a Marcos.</w:t>
      </w:r>
    </w:p>
    <w:p>
      <w:pPr>
        <w:pStyle w:val="Heading1"/>
      </w:pPr>
      <w:r>
        <w:t xml:space="preserve">1. Recomendaciones de la reunión (cómo reescribir el PRD)</w:t>
      </w:r>
    </w:p>
    <w:p>
      <w:pPr>
        <w:pStyle w:val="ListParagraph"/>
        <w:numPr>
          <w:ilvl w:val="0"/>
          <w:numId w:val="2"/>
        </w:numPr>
      </w:pPr>
      <w:r>
        <w:t xml:space="preserve">Escribir en modo imperativo y con estructura simple, para reducir la carga cognitiva del desarrollador.</w:t>
      </w:r>
    </w:p>
    <w:p>
      <w:pPr>
        <w:pStyle w:val="ListParagraph"/>
        <w:numPr>
          <w:ilvl w:val="0"/>
          <w:numId w:val="2"/>
        </w:numPr>
      </w:pPr>
      <w:r>
        <w:t xml:space="preserve">Separar visualmente la información y resaltar los cambios, para que el mensaje se interprete sin lectura exhaustiva.</w:t>
      </w:r>
    </w:p>
    <w:p>
      <w:pPr>
        <w:pStyle w:val="ListParagraph"/>
        <w:numPr>
          <w:ilvl w:val="0"/>
          <w:numId w:val="2"/>
        </w:numPr>
      </w:pPr>
      <w:r>
        <w:t xml:space="preserve">Mantener actualizado el DER y aclarar explícitamente los campos por documento, para que el dev no tenga que interpretar.</w:t>
      </w:r>
    </w:p>
    <w:p>
      <w:pPr>
        <w:pStyle w:val="ListParagraph"/>
        <w:numPr>
          <w:ilvl w:val="0"/>
          <w:numId w:val="2"/>
        </w:numPr>
      </w:pPr>
      <w:r>
        <w:t xml:space="preserve">No mencionar funcionalidades en los criterios de aceptación si no fueron definidas antes en el flujo (ej. PEP): genera un “bucle” irresoluble. Mencionar solo interacciones ya establecidas o autoexplicativas.</w:t>
      </w:r>
    </w:p>
    <w:p>
      <w:pPr>
        <w:pStyle w:val="ListParagraph"/>
        <w:numPr>
          <w:ilvl w:val="0"/>
          <w:numId w:val="2"/>
        </w:numPr>
      </w:pPr>
      <w:r>
        <w:t xml:space="preserve">Separar el manejo de firmantes en una historia de usuario independiente, detallando firma individual vs. conjunta y los datos que deben quedar precargados en cada caso.</w:t>
      </w:r>
    </w:p>
    <w:p>
      <w:pPr>
        <w:pStyle w:val="ListParagraph"/>
        <w:numPr>
          <w:ilvl w:val="0"/>
          <w:numId w:val="2"/>
        </w:numPr>
      </w:pPr>
      <w:r>
        <w:t xml:space="preserve">Definir desde producto TODOS los campos posibles que el usuario debe cargar; no dejar instrucciones ambiguas para desarrollo.</w:t>
      </w:r>
    </w:p>
    <w:p>
      <w:pPr>
        <w:pStyle w:val="ListParagraph"/>
        <w:numPr>
          <w:ilvl w:val="0"/>
          <w:numId w:val="2"/>
        </w:numPr>
      </w:pPr>
      <w:r>
        <w:t xml:space="preserve">Usar lógica proposicional para redactar reglas de negocio: estructuras condicionales “si ocurre A, entonces B”.</w:t>
      </w:r>
    </w:p>
    <w:p>
      <w:pPr>
        <w:pStyle w:val="ListParagraph"/>
        <w:numPr>
          <w:ilvl w:val="0"/>
          <w:numId w:val="2"/>
        </w:numPr>
      </w:pPr>
      <w:r>
        <w:t xml:space="preserve">Distinguir generalizaciones (“todos los bancos”) de casos específicos (“existe al menos uno”); definir el comportamiento por defecto de cada rol (Presidente, Apoderado): firma individual vs. múltiples requisitos.</w:t>
      </w:r>
    </w:p>
    <w:p>
      <w:pPr>
        <w:pStyle w:val="ListParagraph"/>
        <w:numPr>
          <w:ilvl w:val="0"/>
          <w:numId w:val="2"/>
        </w:numPr>
      </w:pPr>
      <w:r>
        <w:t xml:space="preserve">Validar la lógica con diagramas de flujo antes de cerrar la documentación; si el flujo no representa la interacción real, corregir el requerimiento antes de pasarlo a desarrollo.</w:t>
      </w:r>
    </w:p>
    <w:p>
      <w:pPr>
        <w:pStyle w:val="ListParagraph"/>
        <w:numPr>
          <w:ilvl w:val="0"/>
          <w:numId w:val="2"/>
        </w:numPr>
      </w:pPr>
      <w:r>
        <w:t xml:space="preserve">Estandarizar el término “firmante” en lugar de “representante legal” en todo el documento.</w:t>
      </w:r>
    </w:p>
    <w:p>
      <w:pPr>
        <w:pStyle w:val="ListParagraph"/>
        <w:numPr>
          <w:ilvl w:val="0"/>
          <w:numId w:val="2"/>
        </w:numPr>
      </w:pPr>
      <w:r>
        <w:t xml:space="preserve">Flujo de firma: el personal administrativo carga el PDF con los datos ya completos; la herramienta (Signatura) se limita a gestionar las firmas sobre ese documento.</w:t>
      </w:r>
    </w:p>
    <w:p>
      <w:pPr>
        <w:pStyle w:val="ListParagraph"/>
        <w:numPr>
          <w:ilvl w:val="0"/>
          <w:numId w:val="2"/>
        </w:numPr>
      </w:pPr>
      <w:r>
        <w:t xml:space="preserve">Correos electrónicos faltantes: no es responsabilidad de producto resolver su obtención; lo gestiona el equipo administrativo / atención al cliente con procesos externos existentes.</w:t>
      </w:r>
    </w:p>
    <w:p>
      <w:pPr>
        <w:pStyle w:val="ListParagraph"/>
        <w:numPr>
          <w:ilvl w:val="0"/>
          <w:numId w:val="2"/>
        </w:numPr>
      </w:pPr>
      <w:r>
        <w:t xml:space="preserve">Próximo paso: etiquetar a María en el documento para una revisión previa antes de la entrega final a Marcos.</w:t>
      </w:r>
    </w:p>
    <w:p>
      <w:pPr>
        <w:spacing w:after="60" w:before="160"/>
      </w:pPr>
      <w:r>
        <w:rPr>
          <w:b/>
          <w:bCs/>
        </w:rPr>
        <w:t xml:space="preserve">Próximos pasos asignados (de las notas):</w:t>
      </w:r>
    </w:p>
    <w:p>
      <w:pPr>
        <w:pStyle w:val="ListParagraph"/>
        <w:numPr>
          <w:ilvl w:val="0"/>
          <w:numId w:val="2"/>
        </w:numPr>
      </w:pPr>
      <w:r>
        <w:t xml:space="preserve">[Chiara] Documentar firmantes: separar la HU y definir las lógicas condicionales y sus consecuencias.</w:t>
      </w:r>
    </w:p>
    <w:p>
      <w:pPr>
        <w:pStyle w:val="ListParagraph"/>
        <w:numPr>
          <w:ilvl w:val="0"/>
          <w:numId w:val="2"/>
        </w:numPr>
      </w:pPr>
      <w:r>
        <w:t xml:space="preserve">[Chiara] Solicitar revisión: etiquetar a María Obregon en el documento antes de la entrega final a Marcos.</w:t>
      </w:r>
    </w:p>
    <w:p>
      <w:pPr>
        <w:pStyle w:val="ListParagraph"/>
        <w:numPr>
          <w:ilvl w:val="0"/>
          <w:numId w:val="2"/>
        </w:numPr>
      </w:pPr>
      <w:r>
        <w:t xml:space="preserve">[Chiara] Investigar principios de lógica proposicional para mejorar claridad y precisión de los requerimientos.</w:t>
      </w:r>
    </w:p>
    <w:p>
      <w:pPr>
        <w:pStyle w:val="Heading1"/>
      </w:pPr>
      <w:r>
        <w:t xml:space="preserve">2. Comentarios y correcciones</w:t>
      </w:r>
    </w:p>
    <w:p>
      <w:pPr>
        <w:pStyle w:val="Heading2"/>
      </w:pPr>
      <w:r>
        <w:t xml:space="preserve">Firmantes y tipos de firma</w:t>
      </w:r>
    </w:p>
    <w:p>
      <w:pPr>
        <w:spacing w:after="40" w:before="200"/>
      </w:pPr>
      <w:r>
        <w:rPr>
          <w:b/>
          <w:bCs/>
          <w:color w:val="1F3864"/>
        </w:rPr>
        <w:t xml:space="preserve">C11 — </w:t>
      </w:r>
      <w:r>
        <w:rPr>
          <w:b/>
          <w:bCs/>
        </w:rPr>
        <w:t xml:space="preserve">HU / Glosario — Firmantes</w:t>
      </w:r>
      <w:r>
        <w:rPr>
          <w:i/>
          <w:iCs/>
          <w:color w:val="595959"/>
        </w:rPr>
        <w:t xml:space="preserve">   (María Obregon)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“Esta historia la podemos tomar cuando tengamos OK la carga de información de las personas y documentos.” (asignado a egarbers)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Separar el manejo de firmantes en una HU independiente (coincide con la reunión). Retomarla una vez cerrada la carga de datos de personas y documentos.</w:t>
      </w:r>
    </w:p>
    <w:p>
      <w:pPr>
        <w:spacing w:after="40" w:before="200"/>
      </w:pPr>
      <w:r>
        <w:rPr>
          <w:b/>
          <w:bCs/>
          <w:color w:val="1F3864"/>
        </w:rPr>
        <w:t xml:space="preserve">C15 — </w:t>
      </w:r>
      <w:r>
        <w:rPr>
          <w:b/>
          <w:bCs/>
        </w:rPr>
        <w:t xml:space="preserve">“Definir firmantes obligatorios para el contrato de adhesión (PJ)”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“Porfavor, definir los tipos de firmas y cómo se acciona frente a ellas.”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Definir en un solo lugar los tipos de firma y su lógica condicional. Completá el siguiente esquema: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Tipos de firma del contrato de adhesión (PJ): [individual / conjunta / múltiple]. Regla por cargo: SI el firmante tiene cargo = Presidente, ENTONCES firma [individual]. SI el cargo = Apoderado, ENTONCES [definir]. SI hay 2 o más firmantes obligatorios con firma conjunta, ENTONCES el contrato se considera firmado solo cuando todos firman.</w:t>
      </w:r>
    </w:p>
    <w:p>
      <w:pPr>
        <w:spacing w:after="40" w:before="200"/>
      </w:pPr>
      <w:r>
        <w:rPr>
          <w:b/>
          <w:bCs/>
          <w:color w:val="1F3864"/>
        </w:rPr>
        <w:t xml:space="preserve">C16 — </w:t>
      </w:r>
      <w:r>
        <w:rPr>
          <w:b/>
          <w:bCs/>
        </w:rPr>
        <w:t xml:space="preserve">“Sucesiones”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“Entiendo que solo las sucesiones tienen ese tipo de firmas.”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Aclarar explícitamente qué tipo de firma aplica a cada tipo de cliente.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Tipos de firma por tipo de cliente: SA → [definir]; SRL → [definir]; SH → [definir]; Sucesión → [definir]; Persona Física → no requiere flujo de firmas.</w:t>
      </w:r>
    </w:p>
    <w:p>
      <w:pPr>
        <w:pStyle w:val="Heading2"/>
      </w:pPr>
      <w:r>
        <w:t xml:space="preserve">Roles y permisos</w:t>
      </w:r>
    </w:p>
    <w:p>
      <w:pPr>
        <w:spacing w:after="40" w:before="200"/>
      </w:pPr>
      <w:r>
        <w:rPr>
          <w:b/>
          <w:bCs/>
          <w:color w:val="1F3864"/>
        </w:rPr>
        <w:t xml:space="preserve">C0 + C1 — </w:t>
      </w:r>
      <w:r>
        <w:rPr>
          <w:b/>
          <w:bCs/>
        </w:rPr>
        <w:t xml:space="preserve">1.3 Roles</w:t>
      </w:r>
      <w:r>
        <w:rPr>
          <w:i/>
          <w:iCs/>
          <w:color w:val="595959"/>
        </w:rPr>
        <w:t xml:space="preserve">   (Marcos → Chiara)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Marcos: “¿Se aplican sobre un usuario administrador de dcac?” — Chiara: “Exacto, es para el administrador de dcac (Emilio, Maxi, entre otros).”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Ya resuelto en el hilo: trasladar la aclaración al cuerpo del PRD.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Los roles descritos en esta sección aplican exclusivamente a los usuarios internos administradores de DCaC (p. ej. Emilio, Maxi). No aplican al cliente final / productor.</w:t>
      </w:r>
    </w:p>
    <w:p>
      <w:pPr>
        <w:spacing w:after="40" w:before="200"/>
      </w:pPr>
      <w:r>
        <w:rPr>
          <w:b/>
          <w:bCs/>
          <w:color w:val="1F3864"/>
        </w:rPr>
        <w:t xml:space="preserve">C2 — </w:t>
      </w:r>
      <w:r>
        <w:rPr>
          <w:b/>
          <w:bCs/>
        </w:rPr>
        <w:t xml:space="preserve">“nuevos usuarios internos”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“¿Dónde se almacenan los usuarios internos?”</w:t>
      </w:r>
    </w:p>
    <w:p>
      <w:pPr>
        <w:spacing w:after="120"/>
      </w:pPr>
      <w:r>
        <w:rPr>
          <w:b/>
          <w:bCs/>
          <w:color w:val="2E75B6"/>
        </w:rPr>
        <w:t xml:space="preserve">Acción (Producto + Dev): </w:t>
      </w:r>
      <w:r>
        <w:t xml:space="preserve">Definir y referenciar en el DER la tabla donde se almacenan los usuarios internos.</w:t>
      </w:r>
    </w:p>
    <w:p>
      <w:pPr>
        <w:spacing w:after="40" w:before="200"/>
      </w:pPr>
      <w:r>
        <w:rPr>
          <w:b/>
          <w:bCs/>
          <w:color w:val="1F3864"/>
        </w:rPr>
        <w:t xml:space="preserve">C12 + C13 — </w:t>
      </w:r>
      <w:r>
        <w:rPr>
          <w:b/>
          <w:bCs/>
        </w:rPr>
        <w:t xml:space="preserve">“Oficial de Cumplimiento (nivel_1)”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“¿Existe matriz de permisos para los roles? Me refiero a una matriz que establezca todas las interacciones que tiene un usuario con la herramienta y qué usuario puede acceder a cada interacción.”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Crear una matriz de permisos (rol × interacción). Estructura sugerida para completar: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Matriz de permisos — filas = interacciones (crear usuario interno, cargar datos, subir documento, aceptar/rechazar documento, avanzar paso, asignar riesgo, aprobar alta, habilitar CVU, definir firmantes); columnas = roles (nivel_1 Oficial de Cumplimiento, nivel_2 Analista senior/Revisor, nivel_3 Analista junior). Marcar ✓ / ✗ en cada celda.</w:t>
      </w:r>
    </w:p>
    <w:p>
      <w:pPr>
        <w:pStyle w:val="Heading2"/>
      </w:pPr>
      <w:r>
        <w:t xml:space="preserve">Acciones y registro (logs)</w:t>
      </w:r>
    </w:p>
    <w:p>
      <w:pPr>
        <w:spacing w:after="40" w:before="200"/>
      </w:pPr>
      <w:r>
        <w:rPr>
          <w:b/>
          <w:bCs/>
          <w:color w:val="1F3864"/>
        </w:rPr>
        <w:t xml:space="preserve">C14 — </w:t>
      </w:r>
      <w:r>
        <w:rPr>
          <w:b/>
          <w:bCs/>
        </w:rPr>
        <w:t xml:space="preserve">“tipo_accion”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“Veo que hay varios tipos de acciones. Definir todos los relevantes en un solo lugar porfavor.”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Listar todos los valores posibles de tipo_accion en una única tabla/sección.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Valores de tipo_accion (log de auditoría): crear_alta, cargar_datos, subir_documento, aceptar_documento, rechazar_documento, avanzar_paso, asignar_riesgo, aprobar_alta, rechazar_alta, habilitar_cvu, definir_firmante, [completar los que falten].</w:t>
      </w:r>
    </w:p>
    <w:p>
      <w:pPr>
        <w:spacing w:after="40" w:before="200"/>
      </w:pPr>
      <w:r>
        <w:rPr>
          <w:b/>
          <w:bCs/>
          <w:color w:val="1F3864"/>
        </w:rPr>
        <w:t xml:space="preserve">C18 — </w:t>
      </w:r>
      <w:r>
        <w:rPr>
          <w:b/>
          <w:bCs/>
        </w:rPr>
        <w:t xml:space="preserve">“IP”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“¿La IP de quién registramos? ¿Refiere a IP del protocolo de internet?”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Aclarar qué IP se registra y de quién.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Se registra la dirección IP (protocolo de internet) del usuario interno que ejecuta cada acción, como parte del log de auditoría.</w:t>
      </w:r>
    </w:p>
    <w:p>
      <w:pPr>
        <w:pStyle w:val="Heading2"/>
      </w:pPr>
      <w:r>
        <w:t xml:space="preserve">Campos, formularios y observaciones</w:t>
      </w:r>
    </w:p>
    <w:p>
      <w:pPr>
        <w:spacing w:after="40" w:before="200"/>
      </w:pPr>
      <w:r>
        <w:rPr>
          <w:b/>
          <w:bCs/>
          <w:color w:val="1F3864"/>
        </w:rPr>
        <w:t xml:space="preserve">C5 + C6 + C7 — </w:t>
      </w:r>
      <w:r>
        <w:rPr>
          <w:b/>
          <w:bCs/>
        </w:rPr>
        <w:t xml:space="preserve">“observaciones”</w:t>
      </w:r>
      <w:r>
        <w:rPr>
          <w:i/>
          <w:iCs/>
          <w:color w:val="595959"/>
        </w:rPr>
        <w:t xml:space="preserve">   (María / Chiara)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María: “¿En qué se usan las observaciones? ¿Son los comentarios generales del alta?” — Chiara: “Fue una sugerencia para que dejen comentarios el admin de negocio o atención al cliente.”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Documentar el uso del campo observaciones.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observaciones: campo de texto libre para comentarios generales del alta. Lo utilizan el administrador de negocio y atención al cliente para dejar notas que otros roles puedan leer durante el proceso.</w:t>
      </w:r>
    </w:p>
    <w:p>
      <w:pPr>
        <w:spacing w:after="40" w:before="200"/>
      </w:pPr>
      <w:r>
        <w:rPr>
          <w:b/>
          <w:bCs/>
          <w:color w:val="1F3864"/>
        </w:rPr>
        <w:t xml:space="preserve">C8 + C9 + C10 — </w:t>
      </w:r>
      <w:r>
        <w:rPr>
          <w:b/>
          <w:bCs/>
        </w:rPr>
        <w:t xml:space="preserve">“Cada formulario se guarda contra documentos_versiones.id_version y/o tabla form_*”</w:t>
      </w:r>
      <w:r>
        <w:rPr>
          <w:i/>
          <w:iCs/>
          <w:color w:val="595959"/>
        </w:rPr>
        <w:t xml:space="preserve">   (Marcos / María)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Marcos: “¿Entonces los campos se relacionan al archivo subido?” — María: “Se puede manejar de front informar qué campos está completando.” — Marcos: “El versionado quedamos que se maneja en back.”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Dejar explícita la relación campo↔versión y que el versionado se gestiona en backend.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Cada formulario se asocia a la versión del documento correspondiente (documentos_versiones.id_version) y/o a su tabla form_*. El front informa qué campos se están completando; el versionado se gestiona en backend.</w:t>
      </w:r>
    </w:p>
    <w:p>
      <w:pPr>
        <w:spacing w:after="40" w:before="200"/>
      </w:pPr>
      <w:r>
        <w:rPr>
          <w:b/>
          <w:bCs/>
          <w:color w:val="1F3864"/>
        </w:rPr>
        <w:t xml:space="preserve">C4 — </w:t>
      </w:r>
      <w:r>
        <w:rPr>
          <w:b/>
          <w:bCs/>
        </w:rPr>
        <w:t xml:space="preserve">“Avanzar sin todos los documentos aceptados / Aceptar – Rechazar”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“Es un desplegable.”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Especificar el control de UI de la decisión por documento.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La decisión por documento (Aceptar / Rechazar) se presenta como un control desplegable. Al seleccionar “Rechazar”, el motivo es obligatorio y se guarda en motivo_rechazo.</w:t>
      </w:r>
    </w:p>
    <w:p>
      <w:pPr>
        <w:spacing w:after="40" w:before="200"/>
      </w:pPr>
      <w:r>
        <w:rPr>
          <w:b/>
          <w:bCs/>
          <w:color w:val="1F3864"/>
        </w:rPr>
        <w:t xml:space="preserve">C3 — </w:t>
      </w:r>
      <w:r>
        <w:rPr>
          <w:b/>
          <w:bCs/>
        </w:rPr>
        <w:t xml:space="preserve">“revisión documental”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“Esto es la revisión.”</w:t>
      </w:r>
    </w:p>
    <w:p>
      <w:pPr>
        <w:spacing w:after="120"/>
      </w:pPr>
      <w:r>
        <w:rPr>
          <w:b/>
          <w:bCs/>
          <w:color w:val="595959"/>
        </w:rPr>
        <w:t xml:space="preserve">Acción: </w:t>
      </w:r>
      <w:r>
        <w:t xml:space="preserve">Nota de contexto de Marcos; confirmar que la sección corresponde a la revisión documental. Sin cambio de texto requerido.</w:t>
      </w:r>
    </w:p>
    <w:p>
      <w:pPr>
        <w:pStyle w:val="Heading2"/>
      </w:pPr>
      <w:r>
        <w:t xml:space="preserve">Requerimientos no funcionales (a revisar)</w:t>
      </w:r>
    </w:p>
    <w:p>
      <w:pPr>
        <w:spacing w:after="40" w:before="200"/>
      </w:pPr>
      <w:r>
        <w:rPr>
          <w:b/>
          <w:bCs/>
          <w:color w:val="1F3864"/>
        </w:rPr>
        <w:t xml:space="preserve">C19 — </w:t>
      </w:r>
      <w:r>
        <w:rPr>
          <w:b/>
          <w:bCs/>
        </w:rPr>
        <w:t xml:space="preserve">NF — “Persistencia de borradores cada 30 s / blur”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“¿Es necesario? Es un coste de servicio innecesario.”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Revisar la necesidad del autosave cada 30 s. Opciones: (a) quitarlo, (b) guardar solo al cambiar de paso / blur de campo crítico, (c) mantenerlo justificando el caso de uso.</w:t>
      </w:r>
    </w:p>
    <w:p>
      <w:pPr>
        <w:spacing w:after="40" w:before="200"/>
      </w:pPr>
      <w:r>
        <w:rPr>
          <w:b/>
          <w:bCs/>
          <w:color w:val="1F3864"/>
        </w:rPr>
        <w:t xml:space="preserve">C20 + C21 — </w:t>
      </w:r>
      <w:r>
        <w:rPr>
          <w:b/>
          <w:bCs/>
        </w:rPr>
        <w:t xml:space="preserve">NF — “Paginar y soportar 1.000 altas pendientes sin degradación”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“Se debe chequear con el ambiente de deployment.” / “Probablemente, no.”</w:t>
      </w:r>
    </w:p>
    <w:p>
      <w:pPr>
        <w:spacing w:after="120"/>
      </w:pPr>
      <w:r>
        <w:rPr>
          <w:b/>
          <w:bCs/>
          <w:color w:val="2E75B6"/>
        </w:rPr>
        <w:t xml:space="preserve">Acción (Dev/Infra): </w:t>
      </w:r>
      <w:r>
        <w:t xml:space="preserve">Validar la cifra con el ambiente de deployment antes de fijarla como criterio.</w:t>
      </w:r>
    </w:p>
    <w:p>
      <w:pPr>
        <w:spacing w:after="40" w:before="200"/>
      </w:pPr>
      <w:r>
        <w:rPr>
          <w:b/>
          <w:bCs/>
          <w:color w:val="1F3864"/>
        </w:rPr>
        <w:t xml:space="preserve">C17 — </w:t>
      </w:r>
      <w:r>
        <w:rPr>
          <w:b/>
          <w:bCs/>
        </w:rPr>
        <w:t xml:space="preserve">Criterio “Se notifica al cliente desde el front (out of scope de este PRD)”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“Si está fuera de scope, ¿por qué se toma como criterio?”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Quitar el criterio fuera de scope o reformularlo (coincide con la recomendación de Mari: no incluir lo no definido).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Eliminar este punto de los criterios de aceptación. Si corresponde, moverlo a una sección de “Dependencias / fuera de alcance” sin redactarlo como criterio.</w:t>
      </w:r>
    </w:p>
    <w:p>
      <w:pPr>
        <w:pStyle w:val="Heading2"/>
      </w:pPr>
      <w:r>
        <w:t xml:space="preserve">Riesgos y edge cases</w:t>
      </w:r>
    </w:p>
    <w:p>
      <w:pPr>
        <w:spacing w:after="40" w:before="200"/>
      </w:pPr>
      <w:r>
        <w:rPr>
          <w:b/>
          <w:bCs/>
          <w:color w:val="1F3864"/>
        </w:rPr>
        <w:t xml:space="preserve">C22 — </w:t>
      </w:r>
      <w:r>
        <w:rPr>
          <w:b/>
          <w:bCs/>
        </w:rPr>
        <w:t xml:space="preserve">“Cliente recarga un documento mientras el admin lo revisa → versionar y avisar”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“Este riesgo requiere manejo de sockets. Estaría bueno bajarlo a historia o dejarlo fuera de scope.”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Definir: (a) bajarlo a una historia separada, o (b) marcarlo fuera de scope para evitar sockets en este alcance.</w:t>
      </w:r>
    </w:p>
    <w:p>
      <w:pPr>
        <w:spacing w:after="40" w:before="200"/>
      </w:pPr>
      <w:r>
        <w:rPr>
          <w:b/>
          <w:bCs/>
          <w:color w:val="1F3864"/>
        </w:rPr>
        <w:t xml:space="preserve">C23 — </w:t>
      </w:r>
      <w:r>
        <w:rPr>
          <w:b/>
          <w:bCs/>
        </w:rPr>
        <w:t xml:space="preserve">“CUIT duplicado aprobado → warning + revisión periódica”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“Este riesgo es interesante, estaría bueno plantear una mitigación porque ocurre.”</w:t>
      </w:r>
    </w:p>
    <w:p>
      <w:pPr>
        <w:spacing w:after="120"/>
      </w:pPr>
      <w:r>
        <w:rPr>
          <w:b/>
          <w:bCs/>
          <w:color w:val="B00020"/>
        </w:rPr>
        <w:t xml:space="preserve">DECISIÓN: </w:t>
      </w:r>
      <w:r>
        <w:t xml:space="preserve">Definir la mitigación concreta. Estructura sugerida: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Mitigación CUIT duplicado: SI llega un alta para un CUIT ya existente con estado “aprobado”, ENTONCES el sistema bloquea el alta nueva, muestra un warning y ofrece la opción de revisión periódica del cliente existente.</w:t>
      </w:r>
    </w:p>
    <w:p>
      <w:pPr>
        <w:spacing w:after="40" w:before="200"/>
      </w:pPr>
      <w:r>
        <w:rPr>
          <w:b/>
          <w:bCs/>
          <w:color w:val="1F3864"/>
        </w:rPr>
        <w:t xml:space="preserve">C24 — </w:t>
      </w:r>
      <w:r>
        <w:rPr>
          <w:b/>
          <w:bCs/>
        </w:rPr>
        <w:t xml:space="preserve">“Modificación de un alta aprobada: solo alta nueva o re-evaluación”</w:t>
      </w:r>
      <w:r>
        <w:rPr>
          <w:i/>
          <w:iCs/>
          <w:color w:val="595959"/>
        </w:rPr>
        <w:t xml:space="preserve">   (Marcos)</w:t>
      </w:r>
    </w:p>
    <w:p>
      <w:pPr>
        <w:spacing w:after="40"/>
      </w:pPr>
      <w:r>
        <w:rPr>
          <w:b/>
          <w:bCs/>
          <w:color w:val="595959"/>
        </w:rPr>
        <w:t xml:space="preserve">Comentario: </w:t>
      </w:r>
      <w:r>
        <w:rPr>
          <w:i/>
          <w:iCs/>
        </w:rPr>
        <w:t xml:space="preserve">“¿Cuál es el riesgo?”</w:t>
      </w:r>
    </w:p>
    <w:p>
      <w:pPr>
        <w:spacing w:after="120"/>
      </w:pPr>
      <w:r>
        <w:rPr>
          <w:b/>
          <w:bCs/>
          <w:color w:val="1E7B34"/>
        </w:rPr>
        <w:t xml:space="preserve">Acción: </w:t>
      </w:r>
      <w:r>
        <w:t xml:space="preserve">Explicitar el riesgo que mitiga la regla.</w:t>
      </w:r>
    </w:p>
    <w:p>
      <w:pPr>
        <w:pBdr>
          <w:left w:val="single" w:color="2E75B6" w:sz="18" w:space="8"/>
        </w:pBdr>
        <w:shd w:fill="F2F6FB" w:val="clear"/>
        <w:spacing w:after="120"/>
      </w:pPr>
      <w:r>
        <w:rPr>
          <w:b/>
          <w:bCs/>
          <w:color w:val="2E75B6"/>
          <w:sz w:val="18"/>
          <w:szCs w:val="18"/>
        </w:rPr>
        <w:t xml:space="preserve">Para pegar:  </w:t>
      </w:r>
      <w:r>
        <w:t xml:space="preserve">Riesgo: editar directamente un alta ya aprobada alteraría el registro de compliance sin trazabilidad. Por eso solo se permite generar un alta nueva o una re-evaluación periódica; no edición directa.</w:t>
      </w:r>
    </w:p>
    <w:p>
      <w:pPr>
        <w:pStyle w:val="Heading1"/>
      </w:pPr>
      <w:r>
        <w:t xml:space="preserve">3. Decisiones de producto pendientes (solo vos podés definirlas)</w:t>
      </w:r>
    </w:p>
    <w:p>
      <w:pPr>
        <w:pStyle w:val="ListParagraph"/>
        <w:numPr>
          <w:ilvl w:val="0"/>
          <w:numId w:val="2"/>
        </w:numPr>
      </w:pPr>
      <w:r>
        <w:t xml:space="preserve">C15 / C16 — Tipos de firma y su regla por cargo y por tipo de cliente.</w:t>
      </w:r>
    </w:p>
    <w:p>
      <w:pPr>
        <w:pStyle w:val="ListParagraph"/>
        <w:numPr>
          <w:ilvl w:val="0"/>
          <w:numId w:val="2"/>
        </w:numPr>
      </w:pPr>
      <w:r>
        <w:t xml:space="preserve">C12 / C13 — Contenido de la matriz de permisos (rol × interacción).</w:t>
      </w:r>
    </w:p>
    <w:p>
      <w:pPr>
        <w:pStyle w:val="ListParagraph"/>
        <w:numPr>
          <w:ilvl w:val="0"/>
          <w:numId w:val="2"/>
        </w:numPr>
      </w:pPr>
      <w:r>
        <w:t xml:space="preserve">C14 — Lista completa de valores de tipo_accion.</w:t>
      </w:r>
    </w:p>
    <w:p>
      <w:pPr>
        <w:pStyle w:val="ListParagraph"/>
        <w:numPr>
          <w:ilvl w:val="0"/>
          <w:numId w:val="2"/>
        </w:numPr>
      </w:pPr>
      <w:r>
        <w:t xml:space="preserve">C19 — Mantener, ajustar o quitar el autosave cada 30 s.</w:t>
      </w:r>
    </w:p>
    <w:p>
      <w:pPr>
        <w:pStyle w:val="ListParagraph"/>
        <w:numPr>
          <w:ilvl w:val="0"/>
          <w:numId w:val="2"/>
        </w:numPr>
      </w:pPr>
      <w:r>
        <w:t xml:space="preserve">C22 — Bajar a historia o dejar fuera de scope el conflicto de versión en revisión.</w:t>
      </w:r>
    </w:p>
    <w:p>
      <w:pPr>
        <w:pStyle w:val="ListParagraph"/>
        <w:numPr>
          <w:ilvl w:val="0"/>
          <w:numId w:val="2"/>
        </w:numPr>
      </w:pPr>
      <w:r>
        <w:t xml:space="preserve">C23 — Mitigación definitiva para CUIT duplicado aprobado.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2026-06-02T13:32:58.497Z</dcterms:created>
  <dcterms:modified xsi:type="dcterms:W3CDTF">2026-06-02T13:32:58.497Z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