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2818A" w14:textId="59EBA2A8" w:rsidR="00AC438B" w:rsidRPr="00E873D0" w:rsidRDefault="00AC438B" w:rsidP="00E873D0">
      <w:pPr>
        <w:spacing w:line="276" w:lineRule="auto"/>
        <w:ind w:left="1080" w:hanging="720"/>
        <w:jc w:val="center"/>
        <w:rPr>
          <w:rFonts w:ascii="Times New Roman" w:hAnsi="Times New Roman" w:cs="Times New Roman"/>
          <w:b/>
          <w:bCs/>
        </w:rPr>
      </w:pPr>
      <w:r w:rsidRPr="00E873D0">
        <w:rPr>
          <w:rFonts w:ascii="Times New Roman" w:hAnsi="Times New Roman" w:cs="Times New Roman"/>
          <w:b/>
          <w:bCs/>
        </w:rPr>
        <w:t>Trabajo Final</w:t>
      </w:r>
    </w:p>
    <w:p w14:paraId="4F0B7DDA" w14:textId="6925B310" w:rsidR="00FD7E10" w:rsidRPr="00E873D0" w:rsidRDefault="000E55EB" w:rsidP="00D8091C">
      <w:pPr>
        <w:pStyle w:val="Prrafodelista"/>
        <w:numPr>
          <w:ilvl w:val="0"/>
          <w:numId w:val="1"/>
        </w:numPr>
        <w:spacing w:line="276" w:lineRule="auto"/>
        <w:jc w:val="both"/>
        <w:rPr>
          <w:rFonts w:ascii="Times New Roman" w:hAnsi="Times New Roman" w:cs="Times New Roman"/>
        </w:rPr>
      </w:pPr>
      <w:r w:rsidRPr="00E873D0">
        <w:rPr>
          <w:rFonts w:ascii="Times New Roman" w:hAnsi="Times New Roman" w:cs="Times New Roman"/>
        </w:rPr>
        <w:t>Antecedente</w:t>
      </w:r>
      <w:r w:rsidR="00AC438B" w:rsidRPr="00E873D0">
        <w:rPr>
          <w:rFonts w:ascii="Times New Roman" w:hAnsi="Times New Roman" w:cs="Times New Roman"/>
        </w:rPr>
        <w:t>s</w:t>
      </w:r>
    </w:p>
    <w:p w14:paraId="7790295F" w14:textId="180018AD" w:rsidR="000E3AD7" w:rsidRPr="00E873D0" w:rsidRDefault="00172C31" w:rsidP="00D8091C">
      <w:pPr>
        <w:spacing w:line="276" w:lineRule="auto"/>
        <w:jc w:val="both"/>
        <w:rPr>
          <w:rFonts w:ascii="Times New Roman" w:hAnsi="Times New Roman" w:cs="Times New Roman"/>
        </w:rPr>
      </w:pPr>
      <w:r>
        <w:rPr>
          <w:rFonts w:ascii="Times New Roman" w:hAnsi="Times New Roman" w:cs="Times New Roman"/>
        </w:rPr>
        <w:t xml:space="preserve">Durante las últimas semanas, cada vez más gobiernos nacionales en diferentes regiones del mundo han optado por retroceder en las medidas que, desde marzo de 2020, restringían algunas libertades individuales de su población. Dichas medidas tenían por objetivo detener la propagación del virus de la COVID- 19. En </w:t>
      </w:r>
      <w:r w:rsidR="00D93DC4">
        <w:rPr>
          <w:rFonts w:ascii="Times New Roman" w:hAnsi="Times New Roman" w:cs="Times New Roman"/>
        </w:rPr>
        <w:t>su levantamiento</w:t>
      </w:r>
      <w:r>
        <w:rPr>
          <w:rFonts w:ascii="Times New Roman" w:hAnsi="Times New Roman" w:cs="Times New Roman"/>
        </w:rPr>
        <w:t>, el avance de la vacunación ha sido un elemento clave. Aunque los tomadores de decisión</w:t>
      </w:r>
      <w:r w:rsidR="00D93DC4">
        <w:rPr>
          <w:rFonts w:ascii="Times New Roman" w:hAnsi="Times New Roman" w:cs="Times New Roman"/>
        </w:rPr>
        <w:t xml:space="preserve"> continúan en la formulación de estrategias para promover que </w:t>
      </w:r>
      <w:r w:rsidR="00737B77">
        <w:rPr>
          <w:rFonts w:ascii="Times New Roman" w:hAnsi="Times New Roman" w:cs="Times New Roman"/>
        </w:rPr>
        <w:t xml:space="preserve">las y </w:t>
      </w:r>
      <w:r w:rsidR="00D93DC4">
        <w:rPr>
          <w:rFonts w:ascii="Times New Roman" w:hAnsi="Times New Roman" w:cs="Times New Roman"/>
        </w:rPr>
        <w:t>los ciudadanos a</w:t>
      </w:r>
      <w:r w:rsidR="00737B77">
        <w:rPr>
          <w:rFonts w:ascii="Times New Roman" w:hAnsi="Times New Roman" w:cs="Times New Roman"/>
        </w:rPr>
        <w:t xml:space="preserve">cudan a vacunarse en su esquema completo, existen sectores con mayor reticencia a hacerlo por desconfianza y escepticismo, mientras que las razones de otros aún permanecen desconocidas. Este trabajo aborda dicha preocupación. </w:t>
      </w:r>
    </w:p>
    <w:p w14:paraId="66535A5B" w14:textId="4E283543" w:rsidR="00AC438B" w:rsidRPr="00E873D0" w:rsidRDefault="00AC438B" w:rsidP="00D8091C">
      <w:pPr>
        <w:spacing w:line="276" w:lineRule="auto"/>
        <w:jc w:val="both"/>
        <w:rPr>
          <w:rFonts w:ascii="Times New Roman" w:hAnsi="Times New Roman" w:cs="Times New Roman"/>
        </w:rPr>
      </w:pPr>
      <w:r w:rsidRPr="00E873D0">
        <w:rPr>
          <w:rFonts w:ascii="Times New Roman" w:hAnsi="Times New Roman" w:cs="Times New Roman"/>
        </w:rPr>
        <w:t>Son múltiples las variables que definen las divisiones políticas, sociales y económicas</w:t>
      </w:r>
      <w:r w:rsidR="00EA158C" w:rsidRPr="00E873D0">
        <w:rPr>
          <w:rFonts w:ascii="Times New Roman" w:hAnsi="Times New Roman" w:cs="Times New Roman"/>
        </w:rPr>
        <w:t xml:space="preserve"> en una población</w:t>
      </w:r>
      <w:r w:rsidRPr="00E873D0">
        <w:rPr>
          <w:rFonts w:ascii="Times New Roman" w:hAnsi="Times New Roman" w:cs="Times New Roman"/>
        </w:rPr>
        <w:t xml:space="preserve">. </w:t>
      </w:r>
      <w:r w:rsidR="00EA158C" w:rsidRPr="00E873D0">
        <w:rPr>
          <w:rFonts w:ascii="Times New Roman" w:hAnsi="Times New Roman" w:cs="Times New Roman"/>
        </w:rPr>
        <w:t xml:space="preserve">Sobre las económicas, </w:t>
      </w:r>
      <w:r w:rsidR="00EA158C" w:rsidRPr="00E873D0">
        <w:rPr>
          <w:rFonts w:ascii="Times New Roman" w:hAnsi="Times New Roman" w:cs="Times New Roman"/>
        </w:rPr>
        <w:t>Muro y Austin (2021)</w:t>
      </w:r>
      <w:r w:rsidR="00EA158C" w:rsidRPr="00E873D0">
        <w:rPr>
          <w:rFonts w:ascii="Times New Roman" w:hAnsi="Times New Roman" w:cs="Times New Roman"/>
        </w:rPr>
        <w:t xml:space="preserve"> sugieren que, </w:t>
      </w:r>
      <w:r w:rsidR="00D05317" w:rsidRPr="00E873D0">
        <w:rPr>
          <w:rFonts w:ascii="Times New Roman" w:hAnsi="Times New Roman" w:cs="Times New Roman"/>
        </w:rPr>
        <w:t>junto a</w:t>
      </w:r>
      <w:r w:rsidR="00EA158C" w:rsidRPr="00E873D0">
        <w:rPr>
          <w:rFonts w:ascii="Times New Roman" w:hAnsi="Times New Roman" w:cs="Times New Roman"/>
        </w:rPr>
        <w:t xml:space="preserve"> </w:t>
      </w:r>
      <w:r w:rsidR="00D05317" w:rsidRPr="00E873D0">
        <w:rPr>
          <w:rFonts w:ascii="Times New Roman" w:hAnsi="Times New Roman" w:cs="Times New Roman"/>
        </w:rPr>
        <w:t>la</w:t>
      </w:r>
      <w:r w:rsidRPr="00E873D0">
        <w:rPr>
          <w:rFonts w:ascii="Times New Roman" w:hAnsi="Times New Roman" w:cs="Times New Roman"/>
        </w:rPr>
        <w:t xml:space="preserve"> producción, </w:t>
      </w:r>
      <w:r w:rsidR="00D05317" w:rsidRPr="00E873D0">
        <w:rPr>
          <w:rFonts w:ascii="Times New Roman" w:hAnsi="Times New Roman" w:cs="Times New Roman"/>
        </w:rPr>
        <w:t>sus empleos</w:t>
      </w:r>
      <w:r w:rsidRPr="00E873D0">
        <w:rPr>
          <w:rFonts w:ascii="Times New Roman" w:hAnsi="Times New Roman" w:cs="Times New Roman"/>
        </w:rPr>
        <w:t xml:space="preserve">, ingresos, </w:t>
      </w:r>
      <w:r w:rsidR="00D05317" w:rsidRPr="00E873D0">
        <w:rPr>
          <w:rFonts w:ascii="Times New Roman" w:hAnsi="Times New Roman" w:cs="Times New Roman"/>
        </w:rPr>
        <w:t>y</w:t>
      </w:r>
      <w:r w:rsidRPr="00E873D0">
        <w:rPr>
          <w:rFonts w:ascii="Times New Roman" w:hAnsi="Times New Roman" w:cs="Times New Roman"/>
        </w:rPr>
        <w:t xml:space="preserve"> niveles educativos</w:t>
      </w:r>
      <w:r w:rsidR="00D05317" w:rsidRPr="00E873D0">
        <w:rPr>
          <w:rFonts w:ascii="Times New Roman" w:hAnsi="Times New Roman" w:cs="Times New Roman"/>
        </w:rPr>
        <w:t>; la vacunación contra la COVID-19 constituye una nueva división. Así lo sostienen en la medida que encontraron diferencias entre las áreas que votaron por Donald Trump y las que lo hicieron por Joe Biden durante las Elecciones Presidenciales de Estados Unidos del 202</w:t>
      </w:r>
      <w:r w:rsidR="00E51C0D" w:rsidRPr="00E873D0">
        <w:rPr>
          <w:rFonts w:ascii="Times New Roman" w:hAnsi="Times New Roman" w:cs="Times New Roman"/>
        </w:rPr>
        <w:t>0</w:t>
      </w:r>
      <w:r w:rsidR="00D05317" w:rsidRPr="00E873D0">
        <w:rPr>
          <w:rFonts w:ascii="Times New Roman" w:hAnsi="Times New Roman" w:cs="Times New Roman"/>
        </w:rPr>
        <w:t>. El favor que su avance</w:t>
      </w:r>
      <w:r w:rsidR="00E51C0D" w:rsidRPr="00E873D0">
        <w:rPr>
          <w:rFonts w:ascii="Times New Roman" w:hAnsi="Times New Roman" w:cs="Times New Roman"/>
        </w:rPr>
        <w:t xml:space="preserve"> </w:t>
      </w:r>
      <w:r w:rsidR="00ED2E91" w:rsidRPr="00E873D0">
        <w:rPr>
          <w:rFonts w:ascii="Times New Roman" w:hAnsi="Times New Roman" w:cs="Times New Roman"/>
        </w:rPr>
        <w:t xml:space="preserve">hace </w:t>
      </w:r>
      <w:r w:rsidR="00E51C0D" w:rsidRPr="00E873D0">
        <w:rPr>
          <w:rFonts w:ascii="Times New Roman" w:hAnsi="Times New Roman" w:cs="Times New Roman"/>
        </w:rPr>
        <w:t xml:space="preserve">a la economía –específicamente, a su recuperación- y al </w:t>
      </w:r>
      <w:r w:rsidR="00ED2E91" w:rsidRPr="00E873D0">
        <w:rPr>
          <w:rFonts w:ascii="Times New Roman" w:hAnsi="Times New Roman" w:cs="Times New Roman"/>
        </w:rPr>
        <w:t xml:space="preserve">progresivo </w:t>
      </w:r>
      <w:r w:rsidR="00E51C0D" w:rsidRPr="00E873D0">
        <w:rPr>
          <w:rFonts w:ascii="Times New Roman" w:hAnsi="Times New Roman" w:cs="Times New Roman"/>
        </w:rPr>
        <w:t xml:space="preserve">regreso a la “normalidad” </w:t>
      </w:r>
      <w:r w:rsidR="00ED2E91" w:rsidRPr="00E873D0">
        <w:rPr>
          <w:rFonts w:ascii="Times New Roman" w:hAnsi="Times New Roman" w:cs="Times New Roman"/>
        </w:rPr>
        <w:t>continúa siendo</w:t>
      </w:r>
      <w:r w:rsidR="00E51C0D" w:rsidRPr="00E873D0">
        <w:rPr>
          <w:rFonts w:ascii="Times New Roman" w:hAnsi="Times New Roman" w:cs="Times New Roman"/>
        </w:rPr>
        <w:t xml:space="preserve"> documentado. </w:t>
      </w:r>
      <w:r w:rsidR="00ED2E91" w:rsidRPr="00E873D0">
        <w:rPr>
          <w:rFonts w:ascii="Times New Roman" w:hAnsi="Times New Roman" w:cs="Times New Roman"/>
        </w:rPr>
        <w:t xml:space="preserve">De ahí que resulte </w:t>
      </w:r>
      <w:r w:rsidR="00E51C0D" w:rsidRPr="00E873D0">
        <w:rPr>
          <w:rFonts w:ascii="Times New Roman" w:hAnsi="Times New Roman" w:cs="Times New Roman"/>
        </w:rPr>
        <w:t xml:space="preserve">plausible que, como advierten </w:t>
      </w:r>
      <w:r w:rsidR="00E51C0D" w:rsidRPr="00E873D0">
        <w:rPr>
          <w:rFonts w:ascii="Times New Roman" w:hAnsi="Times New Roman" w:cs="Times New Roman"/>
        </w:rPr>
        <w:t>Muro y Austin (2021)</w:t>
      </w:r>
      <w:r w:rsidR="00E51C0D" w:rsidRPr="00E873D0">
        <w:rPr>
          <w:rFonts w:ascii="Times New Roman" w:hAnsi="Times New Roman" w:cs="Times New Roman"/>
        </w:rPr>
        <w:t>, “la división de vacunas (…) exacerbará las otras divisiones económicas que ya estaban debilitando a la nación”</w:t>
      </w:r>
      <w:r w:rsidR="00ED2E91" w:rsidRPr="00E873D0">
        <w:rPr>
          <w:rFonts w:ascii="Times New Roman" w:hAnsi="Times New Roman" w:cs="Times New Roman"/>
        </w:rPr>
        <w:t>.</w:t>
      </w:r>
    </w:p>
    <w:p w14:paraId="34FA3FF2" w14:textId="5E0CCBF0" w:rsidR="000E55EB" w:rsidRPr="00E873D0" w:rsidRDefault="000E55EB" w:rsidP="00D8091C">
      <w:pPr>
        <w:pStyle w:val="Prrafodelista"/>
        <w:numPr>
          <w:ilvl w:val="0"/>
          <w:numId w:val="1"/>
        </w:numPr>
        <w:spacing w:line="276" w:lineRule="auto"/>
        <w:jc w:val="both"/>
        <w:rPr>
          <w:rFonts w:ascii="Times New Roman" w:hAnsi="Times New Roman" w:cs="Times New Roman"/>
        </w:rPr>
      </w:pPr>
      <w:r w:rsidRPr="00E873D0">
        <w:rPr>
          <w:rFonts w:ascii="Times New Roman" w:hAnsi="Times New Roman" w:cs="Times New Roman"/>
        </w:rPr>
        <w:t>Diseño</w:t>
      </w:r>
    </w:p>
    <w:p w14:paraId="2BF89D4A" w14:textId="44FCD258" w:rsidR="000E55EB" w:rsidRPr="00E873D0" w:rsidRDefault="000E55EB" w:rsidP="00D8091C">
      <w:pPr>
        <w:pStyle w:val="Prrafodelista"/>
        <w:numPr>
          <w:ilvl w:val="1"/>
          <w:numId w:val="1"/>
        </w:numPr>
        <w:spacing w:line="276" w:lineRule="auto"/>
        <w:jc w:val="both"/>
        <w:rPr>
          <w:rFonts w:ascii="Times New Roman" w:hAnsi="Times New Roman" w:cs="Times New Roman"/>
        </w:rPr>
      </w:pPr>
      <w:r w:rsidRPr="00E873D0">
        <w:rPr>
          <w:rFonts w:ascii="Times New Roman" w:hAnsi="Times New Roman" w:cs="Times New Roman"/>
        </w:rPr>
        <w:t>Planteamiento del problema</w:t>
      </w:r>
    </w:p>
    <w:p w14:paraId="321E633F" w14:textId="76E45051" w:rsidR="000E55EB" w:rsidRPr="00E873D0" w:rsidRDefault="000E55EB" w:rsidP="00D8091C">
      <w:pPr>
        <w:spacing w:line="276" w:lineRule="auto"/>
        <w:jc w:val="both"/>
        <w:rPr>
          <w:rFonts w:ascii="Times New Roman" w:hAnsi="Times New Roman" w:cs="Times New Roman"/>
        </w:rPr>
      </w:pPr>
      <w:r w:rsidRPr="00E873D0">
        <w:rPr>
          <w:rFonts w:ascii="Times New Roman" w:hAnsi="Times New Roman" w:cs="Times New Roman"/>
        </w:rPr>
        <w:t>El problema de investigación identificado</w:t>
      </w:r>
      <w:r w:rsidR="000E3AD7" w:rsidRPr="00E873D0">
        <w:rPr>
          <w:rFonts w:ascii="Times New Roman" w:hAnsi="Times New Roman" w:cs="Times New Roman"/>
        </w:rPr>
        <w:t xml:space="preserve"> responde a la ausencia de literatura que asocie el avance en la vacunación contra la COVID- 19</w:t>
      </w:r>
      <w:r w:rsidR="00525ACE" w:rsidRPr="00E873D0">
        <w:rPr>
          <w:rFonts w:ascii="Times New Roman" w:hAnsi="Times New Roman" w:cs="Times New Roman"/>
        </w:rPr>
        <w:t xml:space="preserve"> a las preferencias políticas de la población, sobre todo en la región de América Latina</w:t>
      </w:r>
      <w:r w:rsidR="000E3AD7" w:rsidRPr="00E873D0">
        <w:rPr>
          <w:rFonts w:ascii="Times New Roman" w:hAnsi="Times New Roman" w:cs="Times New Roman"/>
        </w:rPr>
        <w:t>.</w:t>
      </w:r>
      <w:r w:rsidR="00525ACE" w:rsidRPr="00E873D0">
        <w:rPr>
          <w:rFonts w:ascii="Times New Roman" w:hAnsi="Times New Roman" w:cs="Times New Roman"/>
        </w:rPr>
        <w:t xml:space="preserve"> La evidencia en otras regiones del mundo sugiere</w:t>
      </w:r>
      <w:r w:rsidR="009629E6" w:rsidRPr="00E873D0">
        <w:rPr>
          <w:rFonts w:ascii="Times New Roman" w:hAnsi="Times New Roman" w:cs="Times New Roman"/>
        </w:rPr>
        <w:t xml:space="preserve"> que su exploración contribuiría a la formulación de</w:t>
      </w:r>
      <w:r w:rsidR="00192822">
        <w:rPr>
          <w:rFonts w:ascii="Times New Roman" w:hAnsi="Times New Roman" w:cs="Times New Roman"/>
        </w:rPr>
        <w:t xml:space="preserve"> estrategias adecuadas y de políticas de recuperación económica que corrijan – y no continúen profundizando- las brechas prepandemia</w:t>
      </w:r>
      <w:r w:rsidR="009629E6" w:rsidRPr="00E873D0">
        <w:rPr>
          <w:rFonts w:ascii="Times New Roman" w:hAnsi="Times New Roman" w:cs="Times New Roman"/>
        </w:rPr>
        <w:t>.</w:t>
      </w:r>
      <w:r w:rsidR="00525ACE" w:rsidRPr="00E873D0">
        <w:rPr>
          <w:rFonts w:ascii="Times New Roman" w:hAnsi="Times New Roman" w:cs="Times New Roman"/>
        </w:rPr>
        <w:t xml:space="preserve">  </w:t>
      </w:r>
    </w:p>
    <w:p w14:paraId="3C507B9C" w14:textId="6A8788A1" w:rsidR="000E55EB" w:rsidRPr="00E873D0" w:rsidRDefault="000E55EB" w:rsidP="00D8091C">
      <w:pPr>
        <w:pStyle w:val="Prrafodelista"/>
        <w:numPr>
          <w:ilvl w:val="1"/>
          <w:numId w:val="1"/>
        </w:numPr>
        <w:spacing w:line="276" w:lineRule="auto"/>
        <w:jc w:val="both"/>
        <w:rPr>
          <w:rFonts w:ascii="Times New Roman" w:hAnsi="Times New Roman" w:cs="Times New Roman"/>
        </w:rPr>
      </w:pPr>
      <w:r w:rsidRPr="00E873D0">
        <w:rPr>
          <w:rFonts w:ascii="Times New Roman" w:hAnsi="Times New Roman" w:cs="Times New Roman"/>
        </w:rPr>
        <w:t>Pregunta de investigación</w:t>
      </w:r>
    </w:p>
    <w:p w14:paraId="6C916AB8" w14:textId="2FBB4344" w:rsidR="009629E6" w:rsidRPr="00E873D0" w:rsidRDefault="00E873D0" w:rsidP="00D8091C">
      <w:pPr>
        <w:spacing w:line="276" w:lineRule="auto"/>
        <w:jc w:val="both"/>
        <w:rPr>
          <w:rFonts w:ascii="Times New Roman" w:hAnsi="Times New Roman" w:cs="Times New Roman"/>
        </w:rPr>
      </w:pPr>
      <w:r w:rsidRPr="00E873D0">
        <w:rPr>
          <w:rFonts w:ascii="Times New Roman" w:hAnsi="Times New Roman" w:cs="Times New Roman"/>
        </w:rPr>
        <w:t>La interrogante que pretende resolver esta investigación</w:t>
      </w:r>
      <w:r w:rsidR="009629E6" w:rsidRPr="00E873D0">
        <w:rPr>
          <w:rFonts w:ascii="Times New Roman" w:hAnsi="Times New Roman" w:cs="Times New Roman"/>
        </w:rPr>
        <w:t xml:space="preserve"> </w:t>
      </w:r>
      <w:r w:rsidRPr="00E873D0">
        <w:rPr>
          <w:rFonts w:ascii="Times New Roman" w:hAnsi="Times New Roman" w:cs="Times New Roman"/>
        </w:rPr>
        <w:t xml:space="preserve">es </w:t>
      </w:r>
      <w:r w:rsidR="009629E6" w:rsidRPr="00E873D0">
        <w:rPr>
          <w:rFonts w:ascii="Times New Roman" w:hAnsi="Times New Roman" w:cs="Times New Roman"/>
        </w:rPr>
        <w:t>cuál era el avance acumulado de la vacunación contra la COVID- 19 en los distritos del Perú según el partido con mayoría de votos válidos en la primera y segunda vuelta de las Elecciones Generales 2021 hacia diciembre de 202</w:t>
      </w:r>
      <w:r w:rsidR="00D93DC4">
        <w:rPr>
          <w:rFonts w:ascii="Times New Roman" w:hAnsi="Times New Roman" w:cs="Times New Roman"/>
        </w:rPr>
        <w:t>1</w:t>
      </w:r>
      <w:r w:rsidR="009629E6" w:rsidRPr="00E873D0">
        <w:rPr>
          <w:rFonts w:ascii="Times New Roman" w:hAnsi="Times New Roman" w:cs="Times New Roman"/>
        </w:rPr>
        <w:t>. En la búsqueda de relación alguna entre las divisiones socioeconómicas tradicionales y esta nueva</w:t>
      </w:r>
      <w:r w:rsidRPr="00E873D0">
        <w:rPr>
          <w:rFonts w:ascii="Times New Roman" w:hAnsi="Times New Roman" w:cs="Times New Roman"/>
        </w:rPr>
        <w:t xml:space="preserve"> se presenta el nivel de desarrollo humano que alcanzan los mismos distritos en ambas vueltas. </w:t>
      </w:r>
    </w:p>
    <w:p w14:paraId="7C573552" w14:textId="024BF7A8" w:rsidR="000E55EB" w:rsidRPr="00E873D0" w:rsidRDefault="000E55EB" w:rsidP="00D8091C">
      <w:pPr>
        <w:pStyle w:val="Prrafodelista"/>
        <w:numPr>
          <w:ilvl w:val="1"/>
          <w:numId w:val="1"/>
        </w:numPr>
        <w:spacing w:line="276" w:lineRule="auto"/>
        <w:jc w:val="both"/>
        <w:rPr>
          <w:rFonts w:ascii="Times New Roman" w:hAnsi="Times New Roman" w:cs="Times New Roman"/>
        </w:rPr>
      </w:pPr>
      <w:r w:rsidRPr="00E873D0">
        <w:rPr>
          <w:rFonts w:ascii="Times New Roman" w:hAnsi="Times New Roman" w:cs="Times New Roman"/>
        </w:rPr>
        <w:t>Objetivo principal</w:t>
      </w:r>
      <w:r w:rsidR="00D93DC4">
        <w:rPr>
          <w:rFonts w:ascii="Times New Roman" w:hAnsi="Times New Roman" w:cs="Times New Roman"/>
        </w:rPr>
        <w:t xml:space="preserve"> y secundarios</w:t>
      </w:r>
    </w:p>
    <w:p w14:paraId="6EF06B23" w14:textId="4179AC53" w:rsidR="00E873D0" w:rsidRPr="00E873D0" w:rsidRDefault="00D93DC4" w:rsidP="00D8091C">
      <w:pPr>
        <w:spacing w:line="276" w:lineRule="auto"/>
        <w:jc w:val="both"/>
        <w:rPr>
          <w:rFonts w:ascii="Times New Roman" w:hAnsi="Times New Roman" w:cs="Times New Roman"/>
        </w:rPr>
      </w:pPr>
      <w:r>
        <w:rPr>
          <w:rFonts w:ascii="Times New Roman" w:hAnsi="Times New Roman" w:cs="Times New Roman"/>
        </w:rPr>
        <w:t>El objetivo principal de la presente investigación es determinar las similitudes y diferencias en el avance acumulado de la vacunación contra la COVID- 19 en los distritos del Perú según el partido ganador, esto es, el partido con mayoría de votos válidos en la primera y segunda vuelta de las EG 2021. Son objetivos secundarios determinar si es que, efectivamente, el avance de la vacunación podría configurarse como una nueva división y explorar su</w:t>
      </w:r>
      <w:r w:rsidR="00192822">
        <w:rPr>
          <w:rFonts w:ascii="Times New Roman" w:hAnsi="Times New Roman" w:cs="Times New Roman"/>
        </w:rPr>
        <w:t xml:space="preserve"> relación con el desarrollo humano de los distritos.</w:t>
      </w:r>
    </w:p>
    <w:p w14:paraId="77E4FAF6" w14:textId="7CB77110" w:rsidR="000E55EB" w:rsidRPr="00E873D0" w:rsidRDefault="000E55EB" w:rsidP="00D8091C">
      <w:pPr>
        <w:pStyle w:val="Prrafodelista"/>
        <w:numPr>
          <w:ilvl w:val="0"/>
          <w:numId w:val="1"/>
        </w:numPr>
        <w:spacing w:line="276" w:lineRule="auto"/>
        <w:jc w:val="both"/>
        <w:rPr>
          <w:rFonts w:ascii="Times New Roman" w:hAnsi="Times New Roman" w:cs="Times New Roman"/>
        </w:rPr>
      </w:pPr>
      <w:r w:rsidRPr="00E873D0">
        <w:rPr>
          <w:rFonts w:ascii="Times New Roman" w:hAnsi="Times New Roman" w:cs="Times New Roman"/>
        </w:rPr>
        <w:t>Data, preprocesamiento y técnicas aplicadas</w:t>
      </w:r>
    </w:p>
    <w:p w14:paraId="24797916" w14:textId="79AAE69E" w:rsidR="00AC438B" w:rsidRPr="00E873D0" w:rsidRDefault="00192822" w:rsidP="00D8091C">
      <w:pPr>
        <w:spacing w:line="276" w:lineRule="auto"/>
        <w:jc w:val="both"/>
        <w:rPr>
          <w:rFonts w:ascii="Times New Roman" w:hAnsi="Times New Roman" w:cs="Times New Roman"/>
        </w:rPr>
      </w:pPr>
      <w:r>
        <w:rPr>
          <w:rFonts w:ascii="Times New Roman" w:hAnsi="Times New Roman" w:cs="Times New Roman"/>
        </w:rPr>
        <w:t>Si bien algunos trabajos de investigación emplean encuestas para profundizar en las preferencias políticas de los ciudadanos, l</w:t>
      </w:r>
      <w:r w:rsidR="00AC438B" w:rsidRPr="00E873D0">
        <w:rPr>
          <w:rFonts w:ascii="Times New Roman" w:hAnsi="Times New Roman" w:cs="Times New Roman"/>
        </w:rPr>
        <w:t xml:space="preserve">os datos empleados </w:t>
      </w:r>
      <w:r>
        <w:rPr>
          <w:rFonts w:ascii="Times New Roman" w:hAnsi="Times New Roman" w:cs="Times New Roman"/>
        </w:rPr>
        <w:t xml:space="preserve">en este trabajo </w:t>
      </w:r>
      <w:r w:rsidR="00AC438B" w:rsidRPr="00E873D0">
        <w:rPr>
          <w:rFonts w:ascii="Times New Roman" w:hAnsi="Times New Roman" w:cs="Times New Roman"/>
        </w:rPr>
        <w:t>corresponden</w:t>
      </w:r>
      <w:r>
        <w:rPr>
          <w:rFonts w:ascii="Times New Roman" w:hAnsi="Times New Roman" w:cs="Times New Roman"/>
        </w:rPr>
        <w:t xml:space="preserve"> al nivel distrital de </w:t>
      </w:r>
      <w:r>
        <w:rPr>
          <w:rFonts w:ascii="Times New Roman" w:hAnsi="Times New Roman" w:cs="Times New Roman"/>
        </w:rPr>
        <w:lastRenderedPageBreak/>
        <w:t>las Elecciones Generales 2021 así como a los del Índice de Desarrollo Humano recogidos por el Programa de las Naciones Unidas para el Desarrollo y del Ministerio de Salud respecto a la Vacunación.</w:t>
      </w:r>
    </w:p>
    <w:p w14:paraId="1ED70918" w14:textId="7B1A6D94" w:rsidR="000E55EB" w:rsidRDefault="000E55EB" w:rsidP="00D8091C">
      <w:pPr>
        <w:pStyle w:val="Prrafodelista"/>
        <w:numPr>
          <w:ilvl w:val="0"/>
          <w:numId w:val="1"/>
        </w:numPr>
        <w:spacing w:line="276" w:lineRule="auto"/>
        <w:jc w:val="both"/>
        <w:rPr>
          <w:rFonts w:ascii="Times New Roman" w:hAnsi="Times New Roman" w:cs="Times New Roman"/>
        </w:rPr>
      </w:pPr>
      <w:r w:rsidRPr="00E873D0">
        <w:rPr>
          <w:rFonts w:ascii="Times New Roman" w:hAnsi="Times New Roman" w:cs="Times New Roman"/>
        </w:rPr>
        <w:t>Resultados y discusión</w:t>
      </w:r>
    </w:p>
    <w:p w14:paraId="1C0E9F53" w14:textId="378962D2" w:rsidR="00D8091C" w:rsidRPr="00D8091C" w:rsidRDefault="00CA4F3E" w:rsidP="00D8091C">
      <w:pPr>
        <w:spacing w:line="276" w:lineRule="auto"/>
        <w:jc w:val="both"/>
        <w:rPr>
          <w:rFonts w:ascii="Times New Roman" w:hAnsi="Times New Roman" w:cs="Times New Roman"/>
        </w:rPr>
      </w:pPr>
      <w:r>
        <w:rPr>
          <w:rFonts w:ascii="Times New Roman" w:hAnsi="Times New Roman" w:cs="Times New Roman"/>
        </w:rPr>
        <w:t xml:space="preserve">Es posible acceder al dashboard elaborado desde el siguiente enlace: </w:t>
      </w:r>
      <w:hyperlink r:id="rId5" w:history="1">
        <w:r w:rsidRPr="00777EA6">
          <w:rPr>
            <w:rStyle w:val="Hipervnculo"/>
            <w:rFonts w:ascii="Times New Roman" w:hAnsi="Times New Roman" w:cs="Times New Roman"/>
          </w:rPr>
          <w:t>https://chiara-zamora-mendoza.shinyapps.io/AvanceElecciones/</w:t>
        </w:r>
      </w:hyperlink>
      <w:r>
        <w:rPr>
          <w:rFonts w:ascii="Times New Roman" w:hAnsi="Times New Roman" w:cs="Times New Roman"/>
        </w:rPr>
        <w:t xml:space="preserve">. Sin embargo, a continuación, se discuten algunos de los hallazgos. </w:t>
      </w:r>
      <w:r w:rsidR="00D8091C">
        <w:rPr>
          <w:rFonts w:ascii="Times New Roman" w:hAnsi="Times New Roman" w:cs="Times New Roman"/>
        </w:rPr>
        <w:t>Como se desprende de la Ilustración 1,</w:t>
      </w:r>
      <w:r>
        <w:rPr>
          <w:rFonts w:ascii="Times New Roman" w:hAnsi="Times New Roman" w:cs="Times New Roman"/>
        </w:rPr>
        <w:t xml:space="preserve"> del mismo modo que en Estados Unidos,</w:t>
      </w:r>
      <w:r w:rsidR="00D8091C">
        <w:rPr>
          <w:rFonts w:ascii="Times New Roman" w:hAnsi="Times New Roman" w:cs="Times New Roman"/>
        </w:rPr>
        <w:t xml:space="preserve"> existen diferencias en </w:t>
      </w:r>
      <w:r>
        <w:rPr>
          <w:rFonts w:ascii="Times New Roman" w:hAnsi="Times New Roman" w:cs="Times New Roman"/>
        </w:rPr>
        <w:t>la proporción de ciudadanos d</w:t>
      </w:r>
      <w:r w:rsidR="00D8091C">
        <w:rPr>
          <w:rFonts w:ascii="Times New Roman" w:hAnsi="Times New Roman" w:cs="Times New Roman"/>
        </w:rPr>
        <w:t>e 18 a más años completamente vacunados</w:t>
      </w:r>
      <w:r>
        <w:rPr>
          <w:rFonts w:ascii="Times New Roman" w:hAnsi="Times New Roman" w:cs="Times New Roman"/>
        </w:rPr>
        <w:t>, según la</w:t>
      </w:r>
      <w:r w:rsidR="00192822">
        <w:rPr>
          <w:rFonts w:ascii="Times New Roman" w:hAnsi="Times New Roman" w:cs="Times New Roman"/>
        </w:rPr>
        <w:t xml:space="preserve"> Ilustración 1.</w:t>
      </w:r>
    </w:p>
    <w:p w14:paraId="7FAC25ED" w14:textId="77777777" w:rsidR="00ED2E91" w:rsidRPr="00E873D0" w:rsidRDefault="00ED2E91" w:rsidP="00E873D0">
      <w:pPr>
        <w:keepNext/>
        <w:spacing w:line="276" w:lineRule="auto"/>
        <w:rPr>
          <w:rFonts w:ascii="Times New Roman" w:hAnsi="Times New Roman" w:cs="Times New Roman"/>
        </w:rPr>
      </w:pPr>
      <w:r w:rsidRPr="00E873D0">
        <w:rPr>
          <w:rFonts w:ascii="Times New Roman" w:hAnsi="Times New Roman" w:cs="Times New Roman"/>
          <w:noProof/>
        </w:rPr>
        <w:drawing>
          <wp:inline distT="0" distB="0" distL="0" distR="0" wp14:anchorId="2CAE7448" wp14:editId="07B73A2D">
            <wp:extent cx="5400040" cy="270002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p>
    <w:p w14:paraId="4C45DDDC" w14:textId="2074B8ED" w:rsidR="00ED2E91" w:rsidRPr="00E873D0" w:rsidRDefault="00ED2E91" w:rsidP="00E873D0">
      <w:pPr>
        <w:pStyle w:val="Descripcin"/>
        <w:spacing w:line="276" w:lineRule="auto"/>
        <w:jc w:val="center"/>
        <w:rPr>
          <w:rFonts w:ascii="Times New Roman" w:hAnsi="Times New Roman" w:cs="Times New Roman"/>
          <w:b/>
          <w:bCs/>
          <w:color w:val="auto"/>
          <w:sz w:val="22"/>
          <w:szCs w:val="22"/>
        </w:rPr>
      </w:pPr>
      <w:r w:rsidRPr="00E873D0">
        <w:rPr>
          <w:rFonts w:ascii="Times New Roman" w:hAnsi="Times New Roman" w:cs="Times New Roman"/>
          <w:b/>
          <w:bCs/>
          <w:color w:val="auto"/>
          <w:sz w:val="22"/>
          <w:szCs w:val="22"/>
        </w:rPr>
        <w:t xml:space="preserve">Ilustración </w:t>
      </w:r>
      <w:r w:rsidRPr="00E873D0">
        <w:rPr>
          <w:rFonts w:ascii="Times New Roman" w:hAnsi="Times New Roman" w:cs="Times New Roman"/>
          <w:b/>
          <w:bCs/>
          <w:color w:val="auto"/>
          <w:sz w:val="22"/>
          <w:szCs w:val="22"/>
        </w:rPr>
        <w:fldChar w:fldCharType="begin"/>
      </w:r>
      <w:r w:rsidRPr="00E873D0">
        <w:rPr>
          <w:rFonts w:ascii="Times New Roman" w:hAnsi="Times New Roman" w:cs="Times New Roman"/>
          <w:b/>
          <w:bCs/>
          <w:color w:val="auto"/>
          <w:sz w:val="22"/>
          <w:szCs w:val="22"/>
        </w:rPr>
        <w:instrText xml:space="preserve"> SEQ Ilustración \* ARABIC </w:instrText>
      </w:r>
      <w:r w:rsidRPr="00E873D0">
        <w:rPr>
          <w:rFonts w:ascii="Times New Roman" w:hAnsi="Times New Roman" w:cs="Times New Roman"/>
          <w:b/>
          <w:bCs/>
          <w:color w:val="auto"/>
          <w:sz w:val="22"/>
          <w:szCs w:val="22"/>
        </w:rPr>
        <w:fldChar w:fldCharType="separate"/>
      </w:r>
      <w:r w:rsidRPr="00E873D0">
        <w:rPr>
          <w:rFonts w:ascii="Times New Roman" w:hAnsi="Times New Roman" w:cs="Times New Roman"/>
          <w:b/>
          <w:bCs/>
          <w:noProof/>
          <w:color w:val="auto"/>
          <w:sz w:val="22"/>
          <w:szCs w:val="22"/>
        </w:rPr>
        <w:t>1</w:t>
      </w:r>
      <w:r w:rsidRPr="00E873D0">
        <w:rPr>
          <w:rFonts w:ascii="Times New Roman" w:hAnsi="Times New Roman" w:cs="Times New Roman"/>
          <w:b/>
          <w:bCs/>
          <w:color w:val="auto"/>
          <w:sz w:val="22"/>
          <w:szCs w:val="22"/>
        </w:rPr>
        <w:fldChar w:fldCharType="end"/>
      </w:r>
    </w:p>
    <w:p w14:paraId="57A04B0C" w14:textId="2291C4AE" w:rsidR="00ED2E91" w:rsidRPr="00E873D0" w:rsidRDefault="00ED2E91" w:rsidP="00E873D0">
      <w:pPr>
        <w:spacing w:line="276" w:lineRule="auto"/>
        <w:rPr>
          <w:rFonts w:ascii="Times New Roman" w:hAnsi="Times New Roman" w:cs="Times New Roman"/>
        </w:rPr>
      </w:pPr>
      <w:r w:rsidRPr="00E873D0">
        <w:rPr>
          <w:rFonts w:ascii="Times New Roman" w:hAnsi="Times New Roman" w:cs="Times New Roman"/>
        </w:rPr>
        <w:t>Referencias</w:t>
      </w:r>
    </w:p>
    <w:p w14:paraId="57ABC97B" w14:textId="4FBE1EBC" w:rsidR="000E3AD7" w:rsidRPr="00E873D0" w:rsidRDefault="000E3AD7" w:rsidP="00E873D0">
      <w:pPr>
        <w:spacing w:line="276" w:lineRule="auto"/>
        <w:rPr>
          <w:rFonts w:ascii="Times New Roman" w:hAnsi="Times New Roman" w:cs="Times New Roman"/>
        </w:rPr>
      </w:pPr>
      <w:hyperlink r:id="rId7" w:history="1">
        <w:r w:rsidRPr="00E873D0">
          <w:rPr>
            <w:rStyle w:val="Hipervnculo"/>
            <w:rFonts w:ascii="Times New Roman" w:hAnsi="Times New Roman" w:cs="Times New Roman"/>
          </w:rPr>
          <w:t>https://www.brookings.edu/blog/the-avenue/2021/09/13/the-vaccine-divide-will-drive-even-worse-economic-divides/?utm_campaign=brookings-comm&amp;utm_medium=email&amp;utm_content=160690290&amp;utm_source=hs_email</w:t>
        </w:r>
      </w:hyperlink>
    </w:p>
    <w:p w14:paraId="45777C03" w14:textId="77777777" w:rsidR="000E3AD7" w:rsidRPr="00E873D0" w:rsidRDefault="000E3AD7" w:rsidP="00E873D0">
      <w:pPr>
        <w:spacing w:line="276" w:lineRule="auto"/>
        <w:rPr>
          <w:rFonts w:ascii="Times New Roman" w:hAnsi="Times New Roman" w:cs="Times New Roman"/>
        </w:rPr>
      </w:pPr>
    </w:p>
    <w:sectPr w:rsidR="000E3AD7" w:rsidRPr="00E873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F2451"/>
    <w:multiLevelType w:val="hybridMultilevel"/>
    <w:tmpl w:val="0888A046"/>
    <w:lvl w:ilvl="0" w:tplc="BE9CD8C2">
      <w:start w:val="1"/>
      <w:numFmt w:val="lowerRoman"/>
      <w:lvlText w:val="%1."/>
      <w:lvlJc w:val="left"/>
      <w:pPr>
        <w:ind w:left="1080" w:hanging="72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5EB"/>
    <w:rsid w:val="000E3AD7"/>
    <w:rsid w:val="000E55EB"/>
    <w:rsid w:val="00172C31"/>
    <w:rsid w:val="00192822"/>
    <w:rsid w:val="00525ACE"/>
    <w:rsid w:val="00737B77"/>
    <w:rsid w:val="009629E6"/>
    <w:rsid w:val="009A049D"/>
    <w:rsid w:val="00AC438B"/>
    <w:rsid w:val="00CA4F3E"/>
    <w:rsid w:val="00D05317"/>
    <w:rsid w:val="00D8091C"/>
    <w:rsid w:val="00D93DC4"/>
    <w:rsid w:val="00E51C0D"/>
    <w:rsid w:val="00E873D0"/>
    <w:rsid w:val="00EA158C"/>
    <w:rsid w:val="00EA5F85"/>
    <w:rsid w:val="00ED2E91"/>
    <w:rsid w:val="00F16A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3E143"/>
  <w15:chartTrackingRefBased/>
  <w15:docId w15:val="{C75CD731-3DC2-4D06-9976-117D0DDB9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55EB"/>
    <w:pPr>
      <w:ind w:left="720"/>
      <w:contextualSpacing/>
    </w:pPr>
  </w:style>
  <w:style w:type="paragraph" w:styleId="Descripcin">
    <w:name w:val="caption"/>
    <w:basedOn w:val="Normal"/>
    <w:next w:val="Normal"/>
    <w:uiPriority w:val="35"/>
    <w:unhideWhenUsed/>
    <w:qFormat/>
    <w:rsid w:val="00ED2E91"/>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0E3AD7"/>
    <w:rPr>
      <w:color w:val="0563C1" w:themeColor="hyperlink"/>
      <w:u w:val="single"/>
    </w:rPr>
  </w:style>
  <w:style w:type="character" w:styleId="Mencinsinresolver">
    <w:name w:val="Unresolved Mention"/>
    <w:basedOn w:val="Fuentedeprrafopredeter"/>
    <w:uiPriority w:val="99"/>
    <w:semiHidden/>
    <w:unhideWhenUsed/>
    <w:rsid w:val="000E3A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rookings.edu/blog/the-avenue/2021/09/13/the-vaccine-divide-will-drive-even-worse-economic-divides/?utm_campaign=brookings-comm&amp;utm_medium=email&amp;utm_content=160690290&amp;utm_source=hs_em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hiara-zamora-mendoza.shinyapps.io/AvanceEleccion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2</Pages>
  <Words>696</Words>
  <Characters>3832</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Zamora Mendoza</dc:creator>
  <cp:keywords/>
  <dc:description/>
  <cp:lastModifiedBy>Chiara Zamora Mendoza</cp:lastModifiedBy>
  <cp:revision>2</cp:revision>
  <dcterms:created xsi:type="dcterms:W3CDTF">2022-02-11T23:30:00Z</dcterms:created>
  <dcterms:modified xsi:type="dcterms:W3CDTF">2022-02-12T04:59:00Z</dcterms:modified>
</cp:coreProperties>
</file>