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Scheda di valutazione — Analisi empirica</w:t>
      </w:r>
    </w:p>
    <w:p>
      <w:pPr>
        <w:jc w:val="center"/>
      </w:pPr>
      <w:r>
        <w:rPr>
          <w:i/>
          <w:sz w:val="24"/>
        </w:rPr>
        <w:t>Driving the change. The socio-economic impact of Autostrada del Sole, 1950–1990</w:t>
      </w:r>
    </w:p>
    <w:p>
      <w:pPr>
        <w:jc w:val="center"/>
      </w:pPr>
      <w:r>
        <w:rPr>
          <w:sz w:val="20"/>
        </w:rPr>
        <w:t>Lelo &amp; Tani — parte empirica del paper ECEHW 2026</w:t>
      </w:r>
    </w:p>
    <w:p/>
    <w:p>
      <w:pPr>
        <w:pStyle w:val="Heading1"/>
      </w:pPr>
      <w:r>
        <w:t>1. Inquadramento</w:t>
      </w:r>
    </w:p>
    <w:p>
      <w:r>
        <w:rPr>
          <w:b w:val="0"/>
          <w:i w:val="0"/>
        </w:rPr>
        <w:t>Questa scheda riassume in modo onesto il progetto di analisi empirica per il paper Lelo &amp; Tani (2026, ECEHW). L'analisi qui descritta NON è un volume separato: costituisce la sezione dati-metodo-risultati-robustness del paper stesso, di cui Lelo &amp; Tani hanno già scritto introduzione, contesto storico-istituzionale e literature review. Il deliverable è un paper unico, integrato.</w:t>
      </w:r>
    </w:p>
    <w:p>
      <w:pPr>
        <w:pStyle w:val="Heading1"/>
      </w:pPr>
      <w:r>
        <w:t>2. Domanda di ricerca</w:t>
      </w:r>
    </w:p>
    <w:p>
      <w:r>
        <w:rPr>
          <w:b w:val="0"/>
          <w:i w:val="0"/>
        </w:rPr>
        <w:t>Il paper di Lelo &amp; Tani (2026) chiede: l'Autostrada del Sole ha causato crescita socio-economica nei comuni serviti dal casello? In che misura? Per chi? L'autore stesso (p. 17) dichiara che la sezione descrittiva del draft attuale non permette di rispondere causalmente alla domanda e chiede esplicitamente «advanced econometric approaches».</w:t>
      </w:r>
    </w:p>
    <w:p>
      <w:r>
        <w:rPr>
          <w:b w:val="0"/>
          <w:i w:val="0"/>
        </w:rPr>
        <w:t>L'analisi empirica risponde a quattro sotto-domande:</w:t>
      </w:r>
    </w:p>
    <w:p>
      <w:pPr>
        <w:pStyle w:val="ListBullet"/>
        <w:ind w:left="340"/>
      </w:pPr>
      <w:r>
        <w:t>RQ1. Effetto causale: i 53 comuni con casello A1 hanno avuto una crescita demografica, imprenditoriale e occupazionale superiore al controllo, dopo aver controllato per selezione su variabili osservabili e per spillovers spaziali sui comuni limitrofi?</w:t>
      </w:r>
    </w:p>
    <w:p>
      <w:pPr>
        <w:pStyle w:val="ListBullet"/>
        <w:ind w:left="340"/>
      </w:pPr>
      <w:r>
        <w:t>RQ2. Decadimento spaziale: a quale distanza dal casello (in minuti di guida) lo spillover svanisce? Dove finisce la fascia contaminata e inizia il controllo pulito?</w:t>
      </w:r>
    </w:p>
    <w:p>
      <w:pPr>
        <w:pStyle w:val="ListBullet"/>
        <w:ind w:left="340"/>
      </w:pPr>
      <w:r>
        <w:t>RQ3. Aree interne (originale): l'A1 ha raggiunto le aree interne SNAI 2014 (categorie D-Intermedio, E-Periferico, F-Ultraperiferico)? Dove le ha raggiunte, ha innescato convergenza? Dove non le ha raggiunte, ha consolidato il divario di marginalità che la SNAI 2014 sta oggi cercando di correggere?</w:t>
      </w:r>
    </w:p>
    <w:p>
      <w:pPr>
        <w:pStyle w:val="ListBullet"/>
        <w:ind w:left="340"/>
      </w:pPr>
      <w:r>
        <w:t>RQ4. Eterogeneità settoriale: il guadagno è concentrato nel manifatturiero, nei servizi, nell'agricoltura?</w:t>
      </w:r>
    </w:p>
    <w:p>
      <w:pPr>
        <w:pStyle w:val="Heading1"/>
      </w:pPr>
      <w:r>
        <w:t>3. Approccio metodologico</w:t>
      </w:r>
    </w:p>
    <w:p>
      <w:r>
        <w:rPr>
          <w:b w:val="0"/>
          <w:i w:val="0"/>
        </w:rPr>
        <w:t>Quattro stage di identificazione, applicati a un panel decennale ISTAT 1951-1991 di 3.242 comuni nelle 8 regioni del corridoio A1.</w:t>
      </w:r>
    </w:p>
    <w:p>
      <w:pPr>
        <w:pStyle w:val="Heading2"/>
      </w:pPr>
      <w:r>
        <w:t>Stage 1 — Propensity score matching</w:t>
      </w:r>
    </w:p>
    <w:p>
      <w:r>
        <w:rPr>
          <w:b w:val="0"/>
          <w:i w:val="0"/>
        </w:rPr>
        <w:t>Logit della probabilità di trattamento (K0 = 1) su covariate 1951 NON-outcome: composizione familiare (F1, A1, F1_1, F3_1), istruzione (I4 analfabeti, SS4 diplomati/laureati), abitazioni/densità (DensU, Shape_Area). Matching 1:3 nearest-neighbour con replacement, caliper 0.25. Verifica balance (|SMD| &lt; 0.10 post-matching).</w:t>
      </w:r>
    </w:p>
    <w:p>
      <w:pPr>
        <w:pStyle w:val="Heading2"/>
      </w:pPr>
      <w:r>
        <w:t>Stage 2 — Callaway-Sant'Anna staggered DiD</w:t>
      </w:r>
    </w:p>
    <w:p>
      <w:r>
        <w:rPr>
          <w:b w:val="0"/>
          <w:i w:val="0"/>
        </w:rPr>
        <w:t>L'A1 si è aperta in 4 anni (1959, 1960, 1962, 1964). La granularità decennale del censimento le collassa in 2 coorti:</w:t>
      </w:r>
    </w:p>
    <w:p>
      <w:pPr>
        <w:pStyle w:val="ListBullet"/>
        <w:ind w:left="340"/>
      </w:pPr>
      <w:r>
        <w:t>Coorte A (n=19, K7 = 1959-60): primo post-censimento 1961</w:t>
      </w:r>
    </w:p>
    <w:p>
      <w:pPr>
        <w:pStyle w:val="ListBullet"/>
        <w:ind w:left="340"/>
      </w:pPr>
      <w:r>
        <w:t>Coorte B (n=34, K7 = 1962-64): primo post-censimento 1971</w:t>
      </w:r>
    </w:p>
    <w:p>
      <w:r>
        <w:rPr>
          <w:b w:val="0"/>
          <w:i w:val="0"/>
        </w:rPr>
        <w:t>ATT(g,t) = E[Δy | G=g] − E[Δy | Never], con never-treated come gruppo di controllo. Aggregazione a ATT(e) ponderata per dimensione di coorte. Test di parallel-trends al placebo e = −2 (coorte B nel 1951).</w:t>
      </w:r>
    </w:p>
    <w:p>
      <w:pPr>
        <w:pStyle w:val="Heading2"/>
      </w:pPr>
      <w:r>
        <w:t>Stage 3 — Spatial component: anelli alla Ciani-de Blasio</w:t>
      </w:r>
    </w:p>
    <w:p>
      <w:r>
        <w:rPr>
          <w:b w:val="0"/>
          <w:i w:val="0"/>
        </w:rPr>
        <w:t>Sei anelli concentrici di distanza dal casello più vicino (W2 in minuti di guida): R0 = host, R1 = 0-15 min (spillover), R2 = 15-30 min (spillover), R3 = 30-45 min (near control), R4 = 45-60 min (control), R5 = 60+ min (far reference). I coefficienti R1 e R2 MISURANO lo spillover (non lo escludono via donut). Spec parallela continua su W2 (Donaldson-Hornbeck 2016 market access).</w:t>
      </w:r>
    </w:p>
    <w:p>
      <w:pPr>
        <w:pStyle w:val="Heading2"/>
      </w:pPr>
      <w:r>
        <w:t>Stage 4 — Butts (2023) spillover-robust decomposition</w:t>
      </w:r>
    </w:p>
    <w:p>
      <w:r>
        <w:rPr>
          <w:b w:val="0"/>
          <w:i w:val="0"/>
        </w:rPr>
        <w:t>Test del «spillover boundary»: il primo anello in cui β_r è statisticamente zero. Beyond di questo anello, i comuni formano il controllo pulito. Decomposizione: effetto diretto (R0) + effetto indiretto/spillover (somma pesata su R1..R_b) = effetto totale per casello. È la quantità policy-rilevante.</w:t>
      </w:r>
    </w:p>
    <w:p>
      <w:pPr>
        <w:pStyle w:val="Heading1"/>
      </w:pPr>
      <w:r>
        <w:t>4. Differenziazione dalla letteratura esistente</w:t>
      </w:r>
    </w:p>
    <w:p>
      <w:r>
        <w:rPr>
          <w:b w:val="0"/>
          <w:i w:val="0"/>
        </w:rPr>
        <w:t>La literature review è completamente in Lelo &amp; Tani (2026) — non viene riscritta qui. La tabella seguente sintetizza dove il presente paper si stacca dai benchmark.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Benchmark</w:t>
            </w:r>
          </w:p>
        </w:tc>
        <w:tc>
          <w:tcPr>
            <w:tcW w:type="dxa" w:w="3135"/>
          </w:tcPr>
          <w:p>
            <w:r>
              <w:t>Cosa fanno loro</w:t>
            </w:r>
          </w:p>
        </w:tc>
        <w:tc>
          <w:tcPr>
            <w:tcW w:type="dxa" w:w="3135"/>
          </w:tcPr>
          <w:p>
            <w:r>
              <w:t>Cosa aggiungiamo noi</w:t>
            </w:r>
          </w:p>
        </w:tc>
      </w:tr>
      <w:tr>
        <w:tc>
          <w:tcPr>
            <w:tcW w:type="dxa" w:w="3135"/>
          </w:tcPr>
          <w:p>
            <w:r>
              <w:t>Percoco 2016 (J Econ Geog)</w:t>
            </w:r>
          </w:p>
        </w:tc>
        <w:tc>
          <w:tcPr>
            <w:tcW w:type="dxa" w:w="3135"/>
          </w:tcPr>
          <w:p>
            <w:r>
              <w:t>IV con vie romane come strumento per la presenza del casello, cross-section nazionale 2001.</w:t>
            </w:r>
          </w:p>
        </w:tc>
        <w:tc>
          <w:tcPr>
            <w:tcW w:type="dxa" w:w="3135"/>
          </w:tcPr>
          <w:p>
            <w:r>
              <w:t>IV con il Piano Romita 1955 (NON le vie romane): più vicino temporalmente, esclusione più solida. Panel 40 anni, instrumentiamo K0 + K7 (timing) + W2 (distanza).</w:t>
            </w:r>
          </w:p>
        </w:tc>
      </w:tr>
      <w:tr>
        <w:tc>
          <w:tcPr>
            <w:tcW w:type="dxa" w:w="3135"/>
          </w:tcPr>
          <w:p>
            <w:r>
              <w:t>de Blasio-Poy-Ciani 2020</w:t>
            </w:r>
          </w:p>
        </w:tc>
        <w:tc>
          <w:tcPr>
            <w:tcW w:type="dxa" w:w="3135"/>
          </w:tcPr>
          <w:p>
            <w:r>
              <w:t>DiD su A3 Salerno-Reggio Calabria, una sola apertura, orizzonte 10-15 anni.</w:t>
            </w:r>
          </w:p>
        </w:tc>
        <w:tc>
          <w:tcPr>
            <w:tcW w:type="dxa" w:w="3135"/>
          </w:tcPr>
          <w:p>
            <w:r>
              <w:t>A1 = autostrada FONDATIVA, 2 coorti staggered, orizzonte 40 anni.</w:t>
            </w:r>
          </w:p>
        </w:tc>
      </w:tr>
      <w:tr>
        <w:tc>
          <w:tcPr>
            <w:tcW w:type="dxa" w:w="3135"/>
          </w:tcPr>
          <w:p>
            <w:r>
              <w:t>Ciani-de Blasio 2022 (J Econ Geog)</w:t>
            </w:r>
          </w:p>
        </w:tc>
        <w:tc>
          <w:tcPr>
            <w:tcW w:type="dxa" w:w="3135"/>
          </w:tcPr>
          <w:p>
            <w:r>
              <w:t>Anelli di distanza con donut, single cohort.</w:t>
            </w:r>
          </w:p>
        </w:tc>
        <w:tc>
          <w:tcPr>
            <w:tcW w:type="dxa" w:w="3135"/>
          </w:tcPr>
          <w:p>
            <w:r>
              <w:t>Anelli con spillover ESPLICITO (Butts 2023), CS-DiD su 2 coorti, PS-matching pre-stage.</w:t>
            </w:r>
          </w:p>
        </w:tc>
      </w:tr>
      <w:tr>
        <w:tc>
          <w:tcPr>
            <w:tcW w:type="dxa" w:w="3135"/>
          </w:tcPr>
          <w:p>
            <w:r>
              <w:t>Donaldson 2018, Faber 2014, Banerjee-Duflo-Qian 2020</w:t>
            </w:r>
          </w:p>
        </w:tc>
        <w:tc>
          <w:tcPr>
            <w:tcW w:type="dxa" w:w="3135"/>
          </w:tcPr>
          <w:p>
            <w:r>
              <w:t>Long-run infrastructure su contesti coloniali / Cina rurale.</w:t>
            </w:r>
          </w:p>
        </w:tc>
        <w:tc>
          <w:tcPr>
            <w:tcW w:type="dxa" w:w="3135"/>
          </w:tcPr>
          <w:p>
            <w:r>
              <w:t>Prima applicazione long-run all'Italia del dopoguerra con panel ISTAT granulare.</w:t>
            </w:r>
          </w:p>
        </w:tc>
      </w:tr>
      <w:tr>
        <w:tc>
          <w:tcPr>
            <w:tcW w:type="dxa" w:w="3135"/>
          </w:tcPr>
          <w:p>
            <w:r>
              <w:t>Letteratura SNAI / aree interne (Barca-Casavola-Lucatelli 2014; SVIMEZ)</w:t>
            </w:r>
          </w:p>
        </w:tc>
        <w:tc>
          <w:tcPr>
            <w:tcW w:type="dxa" w:w="3135"/>
          </w:tcPr>
          <w:p>
            <w:r>
              <w:t>Diagnosi e politica delle aree interne attuali (post-2014).</w:t>
            </w:r>
          </w:p>
        </w:tc>
        <w:tc>
          <w:tcPr>
            <w:tcW w:type="dxa" w:w="3135"/>
          </w:tcPr>
          <w:p>
            <w:r>
              <w:t>Prima evidenza causale che le infrastrutture del dopoguerra (scelte 1955-1964) hanno contribuito a consolidare la gerarchia che la SNAI 2014 oggi cerca di correggere.</w:t>
            </w:r>
          </w:p>
        </w:tc>
      </w:tr>
      <w:tr>
        <w:tc>
          <w:tcPr>
            <w:tcW w:type="dxa" w:w="3135"/>
          </w:tcPr>
          <w:p>
            <w:r>
              <w:t>Lelo &amp; Tani 2026 (questo paper)</w:t>
            </w:r>
          </w:p>
        </w:tc>
        <w:tc>
          <w:tcPr>
            <w:tcW w:type="dxa" w:w="3135"/>
          </w:tcPr>
          <w:p>
            <w:r>
              <w:t>Storia istituzionale + analisi descrittiva 1961-1991.</w:t>
            </w:r>
          </w:p>
        </w:tc>
        <w:tc>
          <w:tcPr>
            <w:tcW w:type="dxa" w:w="3135"/>
          </w:tcPr>
          <w:p>
            <w:r>
              <w:t>L'identificazione causale: PS + CS-DiD + anelli + Butts. Il punto policy aree interne diventa il messaggio principale del paper.</w:t>
            </w:r>
          </w:p>
        </w:tc>
      </w:tr>
    </w:tbl>
    <w:p/>
    <w:p>
      <w:pPr>
        <w:pStyle w:val="Heading1"/>
      </w:pPr>
      <w:r>
        <w:t>5. Valutazione onesta: cosa innova e cosa no</w:t>
      </w:r>
    </w:p>
    <w:p>
      <w:pPr>
        <w:pStyle w:val="Heading2"/>
      </w:pPr>
      <w:r>
        <w:t>Cosa innova</w:t>
      </w:r>
    </w:p>
    <w:p>
      <w:pPr>
        <w:pStyle w:val="ListBullet"/>
        <w:ind w:left="340"/>
      </w:pPr>
      <w:r>
        <w:t>Strumento IV nuovo (Piano Romita 1955) — mai usato in letteratura. Cita direttamente la Fig.1 di Lelo &amp; Tani.</w:t>
      </w:r>
    </w:p>
    <w:p>
      <w:pPr>
        <w:pStyle w:val="ListBullet"/>
        <w:ind w:left="340"/>
      </w:pPr>
      <w:r>
        <w:t>Prima applicazione di Butts (2023) spillover-robust DiD a un contesto storico italiano.</w:t>
      </w:r>
    </w:p>
    <w:p>
      <w:pPr>
        <w:pStyle w:val="ListBullet"/>
        <w:ind w:left="340"/>
      </w:pPr>
      <w:r>
        <w:t>Combinazione PS + CS-DiD + anelli — non rivoluzionaria metodologicamente (le tre tecniche esistono separatamente) ma è applied novelty solida.</w:t>
      </w:r>
    </w:p>
    <w:p>
      <w:pPr>
        <w:pStyle w:val="ListBullet"/>
        <w:ind w:left="340"/>
      </w:pPr>
      <w:r>
        <w:t>Focus aree interne SNAI 2014 — angolo policy originale; nessuno ha mai chiesto se l'A1 abbia contribuito a CREARE la gerarchia delle aree interne.</w:t>
      </w:r>
    </w:p>
    <w:p>
      <w:pPr>
        <w:pStyle w:val="ListBullet"/>
        <w:ind w:left="340"/>
      </w:pPr>
      <w:r>
        <w:t>Panel 40 anni — più lungo della letteratura italiana sull'A1 (in media 10-15 anni).</w:t>
      </w:r>
    </w:p>
    <w:p>
      <w:pPr>
        <w:pStyle w:val="Heading2"/>
      </w:pPr>
      <w:r>
        <w:t>Cosa NON innova</w:t>
      </w:r>
    </w:p>
    <w:p>
      <w:pPr>
        <w:pStyle w:val="ListBullet"/>
        <w:ind w:left="340"/>
      </w:pPr>
      <w:r>
        <w:t>Le metodologie singole (CS-DiD, PS, rings) sono off-the-shelf post-2021.</w:t>
      </w:r>
    </w:p>
    <w:p>
      <w:pPr>
        <w:pStyle w:val="ListBullet"/>
        <w:ind w:left="340"/>
      </w:pPr>
      <w:r>
        <w:t>Il finding di base («le infrastrutture aiutano le zone connesse») è coerente con decenni di letteratura, non sovverte nulla.</w:t>
      </w:r>
    </w:p>
    <w:p>
      <w:pPr>
        <w:pStyle w:val="ListBullet"/>
        <w:ind w:left="340"/>
      </w:pPr>
      <w:r>
        <w:t>Non c'è modello strutturale o welfare quantification — non è un paper di frontiera in spatial economics.</w:t>
      </w:r>
    </w:p>
    <w:p>
      <w:pPr>
        <w:pStyle w:val="Heading2"/>
      </w:pPr>
      <w:r>
        <w:t>Limiti onesti</w:t>
      </w:r>
    </w:p>
    <w:p>
      <w:pPr>
        <w:pStyle w:val="ListBullet"/>
        <w:ind w:left="340"/>
      </w:pPr>
      <w:r>
        <w:t>Selection on unobservables: il PS condiziona su variabili osservabili 1951 (famiglie/istruzione/abitazioni), ma non cattura le scelte politiche (curva di Fanfani, scelta di Cassino, ecc.). L'IV Romita 1955 risolve gran parte di questo, ma richiede 1-2 settimane di GIS work.</w:t>
      </w:r>
    </w:p>
    <w:p>
      <w:pPr>
        <w:pStyle w:val="ListBullet"/>
        <w:ind w:left="340"/>
      </w:pPr>
      <w:r>
        <w:t>Campione aree interne piccolo: 15 trattati su 470. Zero in F-Ultraperiferico. Il messaggio policy regge ma è case-based, non statistical.</w:t>
      </w:r>
    </w:p>
    <w:p>
      <w:pPr>
        <w:pStyle w:val="ListBullet"/>
        <w:ind w:left="340"/>
      </w:pPr>
      <w:r>
        <w:t>Granularità decennale: le 4 sotto-coorti dell'apertura A1 (1959/60/62/64) collassano in 2 coorti censuarie. Non risolvibile.</w:t>
      </w:r>
    </w:p>
    <w:p>
      <w:pPr>
        <w:pStyle w:val="ListBullet"/>
        <w:ind w:left="340"/>
      </w:pPr>
      <w:r>
        <w:t>8 regioni, non tutta Italia: il paper non claima nazionale (Lelo già non lo fa).</w:t>
      </w:r>
    </w:p>
    <w:p>
      <w:pPr>
        <w:pStyle w:val="ListBullet"/>
        <w:ind w:left="340"/>
      </w:pPr>
      <w:r>
        <w:t>Classificazione SNAI 2014 anacronistica per il periodo 1951-1991: la usiamo come proxy geomorfologica (terreno, altitudine), non come network di servizi.</w:t>
      </w:r>
    </w:p>
    <w:p>
      <w:pPr>
        <w:pStyle w:val="Heading1"/>
      </w:pPr>
      <w:r>
        <w:t>6. Risorse e tempistica</w:t>
      </w:r>
    </w:p>
    <w:p>
      <w:r>
        <w:rPr>
          <w:b w:val="0"/>
          <w:i w:val="0"/>
        </w:rPr>
        <w:t>Stato attuale (al 16 maggio 2026):</w:t>
      </w:r>
    </w:p>
    <w:p>
      <w:pPr>
        <w:pStyle w:val="ListBullet"/>
        <w:ind w:left="340"/>
      </w:pPr>
      <w:r>
        <w:t>Pipeline R completa funzionante: 10 script (R/01..R/10 + main), tutti girano end-to-end.</w:t>
      </w:r>
    </w:p>
    <w:p>
      <w:pPr>
        <w:pStyle w:val="ListBullet"/>
        <w:ind w:left="340"/>
      </w:pPr>
      <w:r>
        <w:t>14 figure prodotte (PNG + PDF), 25+ tabelle (CSV + LaTeX).</w:t>
      </w:r>
    </w:p>
    <w:p>
      <w:pPr>
        <w:pStyle w:val="ListBullet"/>
        <w:ind w:left="340"/>
      </w:pPr>
      <w:r>
        <w:t>Bozza paper completa (PAPER.md, ~6500 parole).</w:t>
      </w:r>
    </w:p>
    <w:p>
      <w:pPr>
        <w:pStyle w:val="ListBullet"/>
        <w:ind w:left="340"/>
      </w:pPr>
      <w:r>
        <w:t>Documentazione metodologica (RATIONALE.md) e research proposal con feasibility assessment (PROPOSAL.md).</w:t>
      </w:r>
    </w:p>
    <w:p>
      <w:pPr>
        <w:pStyle w:val="ListBullet"/>
        <w:ind w:left="340"/>
      </w:pPr>
      <w:r>
        <w:t>Repository GitHub con storico commit (Chiascias/Share branch claude/spatial-did-highways-7Ih0r).</w:t>
      </w:r>
    </w:p>
    <w:p>
      <w:r>
        <w:rPr>
          <w:b/>
          <w:i w:val="0"/>
        </w:rPr>
        <w:t>Ulteriore investimento richiesto per Tier 2 (Regional Studies, Italian Economic Journal, REST Tier-2):</w:t>
      </w:r>
    </w:p>
    <w:p>
      <w:pPr>
        <w:pStyle w:val="ListBullet"/>
        <w:ind w:left="340"/>
      </w:pPr>
      <w:r>
        <w:t>Rifinitura prose + risposta a referee anticipati: ~1 mese</w:t>
      </w:r>
    </w:p>
    <w:p>
      <w:pPr>
        <w:pStyle w:val="ListBullet"/>
        <w:ind w:left="340"/>
      </w:pPr>
      <w:r>
        <w:t>Submission e revisione: 6-12 mesi processo</w:t>
      </w:r>
    </w:p>
    <w:p>
      <w:r>
        <w:rPr>
          <w:b w:val="0"/>
          <w:i w:val="0"/>
        </w:rPr>
        <w:t>Totale: 6-12 mesi al working paper finale, 12-18 mesi alla pubblicazione.</w:t>
      </w:r>
    </w:p>
    <w:p>
      <w:r>
        <w:rPr>
          <w:b/>
          <w:i w:val="0"/>
        </w:rPr>
        <w:t>Ulteriore investimento per Tier 1.5 (EEH, JRS, REStat):</w:t>
      </w:r>
    </w:p>
    <w:p>
      <w:pPr>
        <w:pStyle w:val="ListBullet"/>
        <w:ind w:left="340"/>
      </w:pPr>
      <w:r>
        <w:t>Costruzione comune centroids da shapefile ISTAT (Confini Amministrativi): ~3-5 giorni di GIS work.</w:t>
      </w:r>
    </w:p>
    <w:p>
      <w:pPr>
        <w:pStyle w:val="ListBullet"/>
        <w:ind w:left="340"/>
      </w:pPr>
      <w:r>
        <w:t>Digitalizzazione del corridoio Romita 1955 dal Gazzetta Ufficiale n.131 dell'8/6/1955: ~1 settimana.</w:t>
      </w:r>
    </w:p>
    <w:p>
      <w:pPr>
        <w:pStyle w:val="ListBullet"/>
        <w:ind w:left="340"/>
      </w:pPr>
      <w:r>
        <w:t>IV-2SLS Romita 1955 sui moments K0, K7, W2 + first-stage diagnostics: ~1 settimana.</w:t>
      </w:r>
    </w:p>
    <w:p>
      <w:pPr>
        <w:pStyle w:val="ListBullet"/>
        <w:ind w:left="340"/>
      </w:pPr>
      <w:r>
        <w:t>Conley spatial-HAC SE (richiede centroidi): ~3-4 giorni.</w:t>
      </w:r>
    </w:p>
    <w:p>
      <w:pPr>
        <w:pStyle w:val="ListBullet"/>
        <w:ind w:left="340"/>
      </w:pPr>
      <w:r>
        <w:t>Settore decomposition (RQ4) con crosswalk ATECO 1971/1981/1991: ~3-4 settimane.</w:t>
      </w:r>
    </w:p>
    <w:p>
      <w:r>
        <w:rPr>
          <w:b w:val="0"/>
          <w:i w:val="0"/>
        </w:rPr>
        <w:t>Totale add-on per puntare a Tier 1.5: ~2 mesi di lavoro aggiuntivo rispetto allo stato attuale.</w:t>
      </w:r>
    </w:p>
    <w:p>
      <w:r>
        <w:rPr>
          <w:b/>
          <w:i w:val="0"/>
        </w:rPr>
        <w:t>Investimenti NON proposti (sarebbero un follow-up paper separato):</w:t>
      </w:r>
    </w:p>
    <w:p>
      <w:pPr>
        <w:pStyle w:val="ListBullet"/>
        <w:ind w:left="340"/>
      </w:pPr>
      <w:r>
        <w:t>Modello strutturale spatial equilibrium (Allen-Arkolakis): 6-12 mesi.</w:t>
      </w:r>
    </w:p>
    <w:p>
      <w:pPr>
        <w:pStyle w:val="ListBullet"/>
        <w:ind w:left="340"/>
      </w:pPr>
      <w:r>
        <w:t>Welfare quantification (Donaldson-Hornbeck market access): 3-6 mesi.</w:t>
      </w:r>
    </w:p>
    <w:p>
      <w:pPr>
        <w:pStyle w:val="ListBullet"/>
        <w:ind w:left="340"/>
      </w:pPr>
      <w:r>
        <w:t>Estensione a A2/A3/A4/A14 nazionale: 4-6 mesi.</w:t>
      </w:r>
    </w:p>
    <w:p>
      <w:pPr>
        <w:pStyle w:val="Heading1"/>
      </w:pPr>
      <w:r>
        <w:t>7. Bottom line</w:t>
      </w:r>
    </w:p>
    <w:p>
      <w:r>
        <w:rPr>
          <w:b w:val="0"/>
          <w:i w:val="0"/>
        </w:rPr>
        <w:t>Lo stato attuale è già pubblicabile a Tier 2 (Regional Studies, Italian Economic Journal, Rivista di Economia e Statistica del Territorio) con probabilità di accettazione alta, dopo rifinitura.</w:t>
      </w:r>
    </w:p>
    <w:p>
      <w:r>
        <w:rPr>
          <w:b w:val="0"/>
          <w:i w:val="0"/>
        </w:rPr>
        <w:t>Con ~2 mesi di lavoro aggiuntivo (centroidi + Romita IV + Conley SE + settori) diventa competitivo a Tier 1.5 (Explorations in Economic History, Journal of Regional Science, Review of Economics and Statistics field), con probabilità di R&amp;R stimata al 35-45%.</w:t>
      </w:r>
    </w:p>
    <w:p>
      <w:r>
        <w:rPr>
          <w:b w:val="0"/>
          <w:i w:val="0"/>
        </w:rPr>
        <w:t>Per Tier 1 generalista (QJE, AER, ECMA) servirebbero investimenti molto più consistenti (modello strutturale, scope nazionale) non inclusi in questa proposta — diventerebbe un follow-up separato.</w:t>
      </w:r>
    </w:p>
    <w:p>
      <w:r>
        <w:rPr>
          <w:b/>
          <w:i w:val="0"/>
        </w:rPr>
        <w:t>La raccomandazione onesta: investire i ~2 mesi per portare il paper a Tier 1.5. Il valore marginale è alto perché la pipeline è già costruita e funzionante; l'aggiunta riguarda GIS work e una specifica IV, non un re-design metodologico.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