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6"/>
        </w:rPr>
        <w:t>Estensione empirica del paper «Driving the change. The socio-economic impact of Autostrada del Sole, 1950–1990»</w:t>
      </w:r>
    </w:p>
    <w:p>
      <w:pPr>
        <w:jc w:val="center"/>
      </w:pPr>
      <w:r>
        <w:rPr>
          <w:i/>
          <w:sz w:val="22"/>
        </w:rPr>
        <w:t>Proposta di analisi quasi-sperimentale e nota di fattibilità</w:t>
      </w:r>
    </w:p>
    <w:p/>
    <w:p>
      <w:pPr>
        <w:pStyle w:val="Heading1"/>
      </w:pPr>
      <w:r>
        <w:t>1. Inquadramento</w:t>
      </w:r>
    </w:p>
    <w:p>
      <w:pPr>
        <w:jc w:val="both"/>
      </w:pPr>
      <w:r>
        <w:t>Gentile Professoressa Lelo,</w:t>
      </w:r>
    </w:p>
    <w:p>
      <w:pPr>
        <w:ind w:firstLine="340"/>
        <w:jc w:val="both"/>
      </w:pPr>
      <w:r>
        <w:t>la presente nota descrive l'impostazione, lo stato di avanzamento e le prospettive di un'estensione empirica del Suo paper, sviluppata a complemento dell'analisi descrittiva e dell'inquadramento storico-istituzionale già contenuti nel Suo working paper. L'estensione non costituisce un volume separato bensì la sezione dati-metodo-risultati-robustezza dello stesso paper, di cui il Suo testo fornisce introduzione, contesto storico-economico e rassegna della letteratura: il deliverable previsto è dunque un unico paper integrato. La motivazione del lavoro risiede nell'osservazione, esplicitata a pag. 17 della Sua bozza, secondo cui la comparazione descrittiva fra comuni con e senza casello — pur indicativa — non consente di stabilire un nesso causale, e nel Suo esplicito richiamo a future analisi basate su «approcci econometrici avanzati, quali modelli panel o strategie di identificazione quasi-sperimentali».</w:t>
      </w:r>
    </w:p>
    <w:p>
      <w:pPr>
        <w:pStyle w:val="Heading1"/>
      </w:pPr>
      <w:r>
        <w:t>2. Domanda di ricerca</w:t>
      </w:r>
    </w:p>
    <w:p>
      <w:pPr>
        <w:ind w:firstLine="340"/>
        <w:jc w:val="both"/>
      </w:pPr>
      <w:r>
        <w:t>La domanda principale del paper rimane quella formulata nella Sua bozza: in che misura l'Autostrada del Sole ha influenzato lo sviluppo socio-economico dei comuni serviti dal casello? L'estensione empirica articola il quesito in quattro sottoquesiti. Il primo riguarda l'effetto causale medio sui comuni trattati, una volta depurata la selezione su caratteristiche pre-trattamento osservabili. Il secondo riguarda la dimensione spaziale: a quale distanza dal casello lo spillover si esaurisce, e dove inizia un controllo credibilmente non contaminato. Il terzo introduce un'angolatura analitica originale: l'A1 ha raggiunto le aree interne nel senso della classificazione SNAI 2014 (categorie D-Intermedio, E-Periferico, F-Ultraperiferico)? Dove le ha raggiunte, ha innescato convergenza? Dove non le ha raggiunte, ha contribuito a consolidare il divario che la Strategia Nazionale Aree Interne tenta oggi di colmare? Il quarto quesito riguarda l'eterogeneità settoriale e permette di qualificare l'effetto generale in termini di trasformazione strutturale del tessuto produttivo.</w:t>
      </w:r>
    </w:p>
    <w:p>
      <w:pPr>
        <w:pStyle w:val="Heading1"/>
      </w:pPr>
      <w:r>
        <w:t>3. Impostazione metodologica</w:t>
      </w:r>
    </w:p>
    <w:p>
      <w:pPr>
        <w:ind w:firstLine="340"/>
        <w:jc w:val="both"/>
      </w:pPr>
      <w:r>
        <w:t>La strategia di identificazione si articola in quattro stadi sovrapposti, applicati al panel decennale ISTAT 1951–1991 dei 3.242 comuni nelle otto regioni del corridoio A1. Il primo stadio consiste in un propensity score matching, stimato tramite logit sulle sole variabili pre-trattamento 1951 di natura non outcome — composizione familiare, istruzione (quota di analfabeti e di diplomati/laureati) e variabili abitative o di densità — seguito da abbinamento 1:3 nearest-neighbour con replacement. Vengono deliberatamente escluse dal modello tutte le variabili di outcome e le quote settoriali di occupazione, suscettibili di indurre post-treatment bias.</w:t>
      </w:r>
    </w:p>
    <w:p>
      <w:pPr>
        <w:ind w:firstLine="340"/>
        <w:jc w:val="both"/>
      </w:pPr>
      <w:r>
        <w:t>Il secondo stadio applica l'estimatore di Callaway e Sant'Anna (2021) per difference-in-differences con timing scaglionato. La granularità decennale del censimento ISTAT colloca i quattro anni di apertura dei caselli A1 (1959, 1960, 1962, 1964) in due distinte coorti censuarie: la coorte A (caselli aperti nel 1959-60, n = 19, primo censimento post-trattamento il 1961) e la coorte B (caselli aperti nel 1962-64, n = 34, primo censimento post-trattamento il 1971). Tale articolazione consente l'identificazione staggered: nello stesso anno calendario le due coorti si trovano in posizioni diverse dell'event time, e il confronto con il gruppo never-treated produce un ATT(g, t) cohort-time-specifico, aggregato in seguito ad effetti per tempo di esposizione. Il placebo a e = −2 verifica l'assunzione di parallel trends.</w:t>
      </w:r>
    </w:p>
    <w:p>
      <w:pPr>
        <w:ind w:firstLine="340"/>
        <w:jc w:val="both"/>
      </w:pPr>
      <w:r>
        <w:t>Il terzo stadio recupera la dimensione spaziale dell'analisi secondo l'impostazione di Ciani e de Blasio (2022). I comuni vengono ripartiti in sei anelli concentrici sulla base del tempo di guida in minuti dal casello A1 più vicino: R0 host, R1 0-15 minuti, R2 15-30, R3 30-45, R4 45-60, R5 oltre i 60 minuti come riferimento. Anziché escludere via donut i comuni esposti a spillover, l'impostazione attribuisce a ciascun anello un coefficiente esplicito, di modo da misurare la fascia di spillover anziché presupporla. Il quarto stadio applica infine la decomposizione spillover-robust introdotta da Butts (2023): un test walk-inward identifica il primo anello in cui il coefficiente di anello cessa di essere statisticamente distinto da zero, definendo empiricamente il confine dello spillover; l'effetto complessivo viene decomposto in una componente diretta sui comuni host e in una componente indiretta sui comuni entro il confine, somma che costituisce l'effetto cumulato per casello aperto — la quantità rilevante dal punto di vista delle policy.</w:t>
      </w:r>
    </w:p>
    <w:p>
      <w:pPr>
        <w:pStyle w:val="Heading1"/>
      </w:pPr>
      <w:r>
        <w:t>4. Posizionamento rispetto alla letteratura</w:t>
      </w:r>
    </w:p>
    <w:p>
      <w:pPr>
        <w:ind w:firstLine="340"/>
        <w:jc w:val="both"/>
      </w:pPr>
      <w:r>
        <w:t>La rassegna presente nella Sua bozza copre in modo esauriente i contributi teorici sull'accessibilità (Hansen 1959, 1965; Aschauer 1989; Gramlich 1994; Banister e Berechman 2001), gli studi empirici sull'effetto delle autostrade in contesto comparato (Baum-Snow 2007; Duranton e Turner 2012; Garcia-López et al. 2015; Herranz-Loncán et al. 2023) e la letteratura italiana sull'A3 (de Blasio, Poy e Ciani 2020) e su altre tratte (Percoco 2016; Cascetta et al. 2020). L'estensione empirica qui proposta dialoga con quei contributi e se ne distacca in modo specifico, come sintetizzato nella tabella seguente.</w:t>
      </w:r>
    </w:p>
    <w:tbl>
      <w:tblPr>
        <w:tblStyle w:val="LightGrid-Accent1"/>
        <w:tblW w:type="auto" w:w="0"/>
        <w:tblLook w:firstColumn="1" w:firstRow="1" w:lastColumn="0" w:lastRow="0" w:noHBand="0" w:noVBand="1" w:val="04A0"/>
      </w:tblPr>
      <w:tblGrid>
        <w:gridCol w:w="3135"/>
        <w:gridCol w:w="3135"/>
        <w:gridCol w:w="3135"/>
      </w:tblGrid>
      <w:tr>
        <w:tc>
          <w:tcPr>
            <w:tcW w:type="dxa" w:w="3135"/>
          </w:tcPr>
          <w:p>
            <w:r>
              <w:rPr>
                <w:b/>
              </w:rPr>
              <w:t>Riferimento</w:t>
            </w:r>
          </w:p>
        </w:tc>
        <w:tc>
          <w:tcPr>
            <w:tcW w:type="dxa" w:w="3135"/>
          </w:tcPr>
          <w:p>
            <w:r>
              <w:rPr>
                <w:b/>
              </w:rPr>
              <w:t>Loro impostazione</w:t>
            </w:r>
          </w:p>
        </w:tc>
        <w:tc>
          <w:tcPr>
            <w:tcW w:type="dxa" w:w="3135"/>
          </w:tcPr>
          <w:p>
            <w:r>
              <w:rPr>
                <w:b/>
              </w:rPr>
              <w:t>Nostro distacco</w:t>
            </w:r>
          </w:p>
        </w:tc>
      </w:tr>
      <w:tr>
        <w:tc>
          <w:tcPr>
            <w:tcW w:type="dxa" w:w="3135"/>
          </w:tcPr>
          <w:p>
            <w:r>
              <w:t>Percoco (2016, JEG)</w:t>
            </w:r>
          </w:p>
        </w:tc>
        <w:tc>
          <w:tcPr>
            <w:tcW w:type="dxa" w:w="3135"/>
          </w:tcPr>
          <w:p>
            <w:r>
              <w:t>Strumento basato sulla rete stradale romana; analisi cross-sezionale a livello nazionale.</w:t>
            </w:r>
          </w:p>
        </w:tc>
        <w:tc>
          <w:tcPr>
            <w:tcW w:type="dxa" w:w="3135"/>
          </w:tcPr>
          <w:p>
            <w:r>
              <w:t>Strumento differente — il Piano Romita 1955 (Gazzetta Ufficiale n. 131 dell'8 giugno 1955) — temporalmente prossimo al trattamento e legato direttamente all'intenzione di pianificazione. Identificazione panel su 40 anni; strumentazione anche del timing di apertura e della distanza continua.</w:t>
            </w:r>
          </w:p>
        </w:tc>
      </w:tr>
      <w:tr>
        <w:tc>
          <w:tcPr>
            <w:tcW w:type="dxa" w:w="3135"/>
          </w:tcPr>
          <w:p>
            <w:r>
              <w:t>de Blasio, Poy e Ciani (2020)</w:t>
            </w:r>
          </w:p>
        </w:tc>
        <w:tc>
          <w:tcPr>
            <w:tcW w:type="dxa" w:w="3135"/>
          </w:tcPr>
          <w:p>
            <w:r>
              <w:t>DiD sull'A3 Salerno–Reggio Calabria, singola coorte di apertura, orizzonte 10-15 anni.</w:t>
            </w:r>
          </w:p>
        </w:tc>
        <w:tc>
          <w:tcPr>
            <w:tcW w:type="dxa" w:w="3135"/>
          </w:tcPr>
          <w:p>
            <w:r>
              <w:t>Studio dell'A1, autostrada fondativa della rete italiana, con due coorti scaglionate e orizzonte 1951-1991.</w:t>
            </w:r>
          </w:p>
        </w:tc>
      </w:tr>
      <w:tr>
        <w:tc>
          <w:tcPr>
            <w:tcW w:type="dxa" w:w="3135"/>
          </w:tcPr>
          <w:p>
            <w:r>
              <w:t>Ciani e de Blasio (2022, JEG)</w:t>
            </w:r>
          </w:p>
        </w:tc>
        <w:tc>
          <w:tcPr>
            <w:tcW w:type="dxa" w:w="3135"/>
          </w:tcPr>
          <w:p>
            <w:r>
              <w:t>Anelli di distanza con esclusione donut della fascia potenzialmente contaminata.</w:t>
            </w:r>
          </w:p>
        </w:tc>
        <w:tc>
          <w:tcPr>
            <w:tcW w:type="dxa" w:w="3135"/>
          </w:tcPr>
          <w:p>
            <w:r>
              <w:t>Anelli con coefficienti espliciti, decomposizione di Butts (2023) e integrazione con disegno staggered.</w:t>
            </w:r>
          </w:p>
        </w:tc>
      </w:tr>
      <w:tr>
        <w:tc>
          <w:tcPr>
            <w:tcW w:type="dxa" w:w="3135"/>
          </w:tcPr>
          <w:p>
            <w:r>
              <w:t>Donaldson (2018), Faber (2014), Banerjee, Duflo e Qian (2020)</w:t>
            </w:r>
          </w:p>
        </w:tc>
        <w:tc>
          <w:tcPr>
            <w:tcW w:type="dxa" w:w="3135"/>
          </w:tcPr>
          <w:p>
            <w:r>
              <w:t>Effetti di lungo periodo di infrastrutture in contesti coloniali ed emergenti.</w:t>
            </w:r>
          </w:p>
        </w:tc>
        <w:tc>
          <w:tcPr>
            <w:tcW w:type="dxa" w:w="3135"/>
          </w:tcPr>
          <w:p>
            <w:r>
              <w:t>Prima applicazione lungo-periodo all'Italia del dopoguerra su panel ISTAT decennale, con misura continua di accessibilità interpretata nell'impianto market access di Donaldson e Hornbeck (2016).</w:t>
            </w:r>
          </w:p>
        </w:tc>
      </w:tr>
      <w:tr>
        <w:tc>
          <w:tcPr>
            <w:tcW w:type="dxa" w:w="3135"/>
          </w:tcPr>
          <w:p>
            <w:r>
              <w:t>Letteratura aree interne (Barca, Casavola e Lucatelli 2014; Felice 2013, 2019; Trigilia 1994)</w:t>
            </w:r>
          </w:p>
        </w:tc>
        <w:tc>
          <w:tcPr>
            <w:tcW w:type="dxa" w:w="3135"/>
          </w:tcPr>
          <w:p>
            <w:r>
              <w:t>Diagnosi e politica delle aree interne come si presentano oggi, in particolare dopo la SNAI 2014.</w:t>
            </w:r>
          </w:p>
        </w:tc>
        <w:tc>
          <w:tcPr>
            <w:tcW w:type="dxa" w:w="3135"/>
          </w:tcPr>
          <w:p>
            <w:r>
              <w:t>Prima evidenza causale che lega le scelte infrastrutturali del 1955-1964 alla gerarchia di marginalità che la SNAI 2014 oggi affronta. Tale legame costituisce il fulcro interpretativo del paper.</w:t>
            </w:r>
          </w:p>
        </w:tc>
      </w:tr>
    </w:tbl>
    <w:p/>
    <w:p>
      <w:pPr>
        <w:ind w:firstLine="340"/>
        <w:jc w:val="both"/>
      </w:pPr>
      <w:r>
        <w:t>L'innovazione metodologica del paper non risiede nelle singole tecniche, tutte disponibili nella letteratura applicata post-2021, bensì nella loro composizione su un caso storico-istituzionale finora trattato prevalentemente in chiave narrativa (Menduni 1999; Iori 2014; Maggi 2009). L'apporto sostantivo riguarda invece l'angolatura policy: nessuno studio precedente ha verificato in modo causale se le scelte di tracciato dell'Autostrada del Sole abbiano contribuito a costituire la gerarchia territoriale che la SNAI 2014 assume come dato.</w:t>
      </w:r>
    </w:p>
    <w:p>
      <w:pPr>
        <w:pStyle w:val="Heading1"/>
      </w:pPr>
      <w:r>
        <w:t>5. Stato di avanzamento e risultati preliminari</w:t>
      </w:r>
    </w:p>
    <w:p>
      <w:pPr>
        <w:ind w:firstLine="340"/>
        <w:jc w:val="both"/>
      </w:pPr>
      <w:r>
        <w:t>Al momento la pipeline di analisi è completamente costruita e funzionante, articolata in dieci script R interamente riproducibili, che producono quattordici figure e oltre venticinque tabelle. La bozza di paper è completa di tutte le sezioni richieste.</w:t>
      </w:r>
    </w:p>
    <w:p>
      <w:pPr>
        <w:ind w:firstLine="340"/>
        <w:jc w:val="both"/>
      </w:pPr>
      <w:r>
        <w:t>I risultati principali, considerati come ordini di grandezza, sono i seguenti. La CS-DiD sul campione donut-30 restituisce un effetto al primo censimento post-trattamento dell'ordine di venti punti logaritmici sulla popolazione, quattordici sui local units e ventisette sugli addetti; gli effetti crescono fino a e = +2 (circa venti anni dopo l'apertura) e si stabilizzano in seguito. La decomposizione di Butts identifica il confine di spillover fra i trenta e i quarantacinque minuti per local units e addetti e fra i quarantacinque e i sessanta per la popolazione; la componente indiretta aggregata per casello è dell'ordine di dieci volte quella diretta, a illustrazione della rilevanza del controllo per spillover. Sul versante delle aree interne, soltanto 15 comuni dei 470 classificati come D, E o F nel campione tight ospitano un casello: 13 in D-Intermedio, 2 in E-Periferico (i due valichi appenninici di Castiglione dei Pepoli e San Benedetto Val di Sambro), nessuno in F-Ultraperiferico. Dove l'A1 ha raggiunto le aree interne ha innescato convergenza significativa; la marginalità delle aree non raggiunte, che oggi costituisce il principale target della SNAI 2014, risulta compatibile con un'eredità di scelte infrastrutturali del 1955-1964.</w:t>
      </w:r>
    </w:p>
    <w:p>
      <w:pPr>
        <w:pStyle w:val="Heading1"/>
      </w:pPr>
      <w:r>
        <w:t>6. Valutazione critica</w:t>
      </w:r>
    </w:p>
    <w:p>
      <w:pPr>
        <w:ind w:firstLine="340"/>
        <w:jc w:val="both"/>
      </w:pPr>
      <w:r>
        <w:t>Per onestà verso il progetto, ritengo opportuno esplicitare tre limiti che permangono nell'attuale impostazione. Il primo riguarda la selezione su variabili non osservabili: lo stadio di propensity score condiziona il confronto su covariate 1951 di tipo demografico, scolastico e abitativo, ma non può catturare le determinanti politico-istituzionali della localizzazione dei caselli — la curva di Fanfani da Lei documentata, l'inclusione di Cassino, l'arbitraggio interno IRI per la concessione Bologna-Firenze. La strategia strumentale basata sul Piano Romita 1955 (sezione 7) costituisce la via per chiudere questo gap. Il secondo limite riguarda la numerosità del campione trattato nello stratum aree interne: 15 comuni, di cui zero in F-Ultraperiferico, costituiscono una base statistica fragile; il messaggio policy principale rimane comunque valido in quanto si fonda sull'esiguità del trattamento, non sulla magnitudo degli effetti all'interno della categoria. Il terzo limite concerne l'anacronismo della classificazione SNAI 2014, costruita sulla rete dei servizi 2011-2013 e applicata retrospettivamente al periodo 1951-1991: la classificazione è tuttavia stabile nelle componenti geomorfologiche sottostanti, e nella stesura del paper questo punto verrà reso esplicito come ipotesi identificativa.</w:t>
      </w:r>
    </w:p>
    <w:p>
      <w:pPr>
        <w:pStyle w:val="Heading1"/>
      </w:pPr>
      <w:r>
        <w:t>7. Sviluppi successivi e impegno richiesto</w:t>
      </w:r>
    </w:p>
    <w:p>
      <w:pPr>
        <w:ind w:firstLine="340"/>
        <w:jc w:val="both"/>
      </w:pPr>
      <w:r>
        <w:t>Lo stato attuale consente, dopo circa un mese di rifinitura redazionale, una sottomissione a riviste di campo di buona fascia internazionale (Regional Studies, Italian Economic Journal, Rivista di Economia e Statistica del Territorio). Per puntare a riviste di fascia superiore (Explorations in Economic History, Journal of Regional Science, Review of Economics and Statistics nella componente regionale) ritengo necessari ulteriori due mesi di lavoro, articolati in quattro voci ben delimitate: la costruzione dei centroidi comunali a partire dallo shapefile ISTAT Confini Amministrativi (tre-cinque giornate); la digitalizzazione del corridoio del Piano Romita 1955 a partire dalla cartografia del Gazzetta Ufficiale (una settimana); la stima 2SLS con lo strumento Romita e relative diagnostiche di first stage (una settimana); il calcolo degli standard error spaziali alla Conley (tre-quattro giorni). Una quinta voce, separata, riguarda la decomposizione settoriale con armonizzazione del codice ATECO sui censimenti 1971, 1981 e 1991 (tre-quattro settimane), rispondente al quarto sottoquesito della sezione 2. Investimenti più consistenti — un modello strutturale di equilibrio spaziale o un'estensione nazionale ad A2, A3, A4 e A14 — esulano dall'impegno qui proposto e costituirebbero, qualora ritenuti opportuni, un secondo paper di prosecuzione.</w:t>
      </w:r>
    </w:p>
    <w:p>
      <w:pPr>
        <w:pStyle w:val="Heading1"/>
      </w:pPr>
      <w:r>
        <w:t>8. Conclusione</w:t>
      </w:r>
    </w:p>
    <w:p>
      <w:pPr>
        <w:ind w:firstLine="340"/>
        <w:jc w:val="both"/>
      </w:pPr>
      <w:r>
        <w:t>Ritengo che il livello di sviluppo attuale dell'analisi giustifichi la prosecuzione del lavoro, e che l'impegno aggiuntivo di circa due mesi necessario per portare il paper a un livello competitivo presso riviste di fascia superiore sia proporzionato al valore marginale atteso, considerato che la pipeline analitica è già costruita e che l'investimento riguarda essenzialmente lavoro di geocodifica, una strategia strumentale specifica e una decomposizione settoriale, e non un ripensamento di fondamentali.</w:t>
      </w:r>
    </w:p>
    <w:p>
      <w:pPr>
        <w:jc w:val="both"/>
      </w:pPr>
      <w:r>
        <w:t>Resto a disposizione per qualsiasi chiarimento e La ringrazio per l'attenzione che vorrà dedicare alla proposta.</w:t>
      </w:r>
    </w:p>
    <w:p/>
    <w:p>
      <w:pPr>
        <w:jc w:val="right"/>
      </w:pPr>
      <w:r>
        <w:t>Con i più cordiali saluti,</w:t>
      </w:r>
    </w:p>
    <w:p>
      <w:pPr>
        <w:jc w:val="right"/>
      </w:pPr>
      <w:r>
        <w:t>[firma]</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00" w:lineRule="auto" w:after="80"/>
    </w:pPr>
    <w:rPr>
      <w:rFonts w:ascii="Garamond" w:hAnsi="Garamon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