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1.0 -->
  <w:body>
    <w:p w:rsidR="00000000" w:rsidRPr="00000000" w:rsidP="00000000" w14:paraId="00000001">
      <w:pPr>
        <w:jc w:val="center"/>
        <w:rPr>
          <w:b/>
        </w:rPr>
      </w:pPr>
      <w:r w:rsidRPr="00000000">
        <w:rPr>
          <w:b/>
        </w:rPr>
        <w:drawing>
          <wp:inline distT="114300" distB="114300" distL="114300" distR="114300">
            <wp:extent cx="2700338" cy="84500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84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0000" w:rsidP="00000000" w14:paraId="00000002">
      <w:pPr>
        <w:jc w:val="center"/>
        <w:rPr>
          <w:b/>
        </w:rPr>
      </w:pPr>
    </w:p>
    <w:p w:rsidR="00000000" w:rsidRPr="00000000" w:rsidP="00000000" w14:paraId="00000003">
      <w:pPr>
        <w:bidi w:val="0"/>
        <w:jc w:val="center"/>
        <w:rPr>
          <w:b/>
        </w:rPr>
      </w:pPr>
      <w:r w:rsidRPr="00000000">
        <w:rPr>
          <w:b/>
          <w:rtl w:val="0"/>
          <w:lang w:val="pt-BR"/>
        </w:rPr>
        <w:t>DATA-INTRO-4 - Estratégias para Superar Obstáculos</w:t>
      </w:r>
    </w:p>
    <w:p w:rsidR="00000000" w:rsidRPr="00000000" w:rsidP="00000000" w14:paraId="00000004">
      <w:pPr>
        <w:rPr>
          <w:b/>
        </w:rPr>
      </w:pPr>
    </w:p>
    <w:p w:rsidR="00000000" w:rsidRPr="00000000" w:rsidP="00000000" w14:paraId="00000005">
      <w:pPr>
        <w:bidi w:val="0"/>
        <w:rPr>
          <w:b/>
          <w:highlight w:val="white"/>
        </w:rPr>
      </w:pPr>
      <w:r w:rsidRPr="00000000">
        <w:rPr>
          <w:b/>
          <w:rtl w:val="0"/>
          <w:lang w:val="pt-BR"/>
        </w:rPr>
        <w:t>Aqui estão algumas estratégias úteis:</w:t>
      </w:r>
    </w:p>
    <w:p w:rsidR="00000000" w:rsidRPr="00000000" w:rsidP="00000000" w14:paraId="00000006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Abordar o Problema com Mente Aberta: Estar pronto(a) para adotar novas metodologias ou revisar modelos existentes à medida que os cenários de dados evoluem.</w:t>
      </w:r>
    </w:p>
    <w:p w:rsidR="00000000" w:rsidRPr="00000000" w:rsidP="00000000" w14:paraId="00000007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Aproveitar a Experiência Passada: Utilizar estratégias anteriores bem-sucedidas para limpeza, análise e interpretação de dados.</w:t>
      </w:r>
    </w:p>
    <w:p w:rsidR="00000000" w:rsidRPr="00000000" w:rsidP="00000000" w14:paraId="00000008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Fazer Perguntas Esclarecedoras: Engajar-se com as partes interessadas ou colegas para obter insights mais profundos ou perspectivas adicionais sobre o problema de dados.</w:t>
      </w:r>
    </w:p>
    <w:p w:rsidR="00000000" w:rsidRPr="00000000" w:rsidP="00000000" w14:paraId="00000009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Visualizar o Problema: Usar ferramentas de visualização de dados para entender melhor relacionamentos complexos ou padrões nos dados.</w:t>
      </w:r>
    </w:p>
    <w:p w:rsidR="00000000" w:rsidRPr="00000000" w:rsidP="00000000" w14:paraId="0000000A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Dividir Problemas em Etapas Menores: Lidar com questões de dados grandes ou complexas incrementalmente para gerenciar a carga de trabalho e aumentar o foco.</w:t>
      </w:r>
    </w:p>
    <w:p w:rsidR="00000000" w:rsidRPr="00000000" w:rsidP="00000000" w14:paraId="0000000B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Aceitar e Planejar Incertezas: Reconhecer e preparar-se para a variabilidade potencial nos resultados da análise de dados.</w:t>
      </w:r>
    </w:p>
    <w:p w:rsidR="00000000" w:rsidRPr="00000000" w:rsidP="00000000" w14:paraId="0000000C">
      <w:pPr>
        <w:numPr>
          <w:ilvl w:val="0"/>
          <w:numId w:val="1"/>
        </w:numPr>
        <w:bidi w:val="0"/>
        <w:spacing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  <w:lang w:val="pt-BR"/>
        </w:rPr>
        <w:t>Gerenciar Suas Emoções e Manter o Foco: Manter a compostura e a perseverança, especialmente quando as análises não produzem os resultados esperados.</w:t>
      </w:r>
    </w:p>
    <w:p w:rsidR="00000000" w:rsidRPr="00000000" w:rsidP="00000000" w14:paraId="0000000D">
      <w:pPr>
        <w:spacing w:line="276" w:lineRule="auto"/>
        <w:ind w:left="720" w:firstLine="0"/>
        <w:rPr>
          <w:highlight w:val="white"/>
        </w:rPr>
      </w:pPr>
    </w:p>
    <w:p w:rsidR="00000000" w:rsidRPr="00000000" w:rsidP="00000000" w14:paraId="0000000E">
      <w:pPr>
        <w:widowControl w:val="0"/>
        <w:spacing w:line="276" w:lineRule="auto"/>
        <w:rPr>
          <w:rFonts w:ascii="Calibri" w:eastAsia="Calibri" w:hAnsi="Calibri" w:cs="Calibri"/>
        </w:rPr>
      </w:pPr>
    </w:p>
    <w:tbl>
      <w:tblPr>
        <w:tblStyle w:val="Table1"/>
        <w:tblW w:w="93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015"/>
        <w:gridCol w:w="2505"/>
        <w:gridCol w:w="3780"/>
      </w:tblGrid>
      <w:tr>
        <w:tblPrEx>
          <w:tblW w:w="930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0F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:rsidR="00000000" w:rsidRPr="00000000" w:rsidP="00000000" w14:paraId="00000010">
            <w:pPr>
              <w:widowControl w:val="0"/>
              <w:bidi w:val="0"/>
              <w:spacing w:line="240" w:lineRule="auto"/>
              <w:jc w:val="center"/>
              <w:rPr>
                <w:b/>
              </w:rPr>
            </w:pPr>
            <w:r w:rsidRPr="00000000">
              <w:rPr>
                <w:b/>
                <w:rtl w:val="0"/>
                <w:lang w:val="pt-BR"/>
              </w:rPr>
              <w:t>Exemplo de Obstáculos na Resolução de Problemas</w:t>
            </w:r>
          </w:p>
        </w:tc>
        <w:tc>
          <w:tcPr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1">
            <w:pPr>
              <w:widowControl w:val="0"/>
              <w:bidi w:val="0"/>
              <w:spacing w:line="240" w:lineRule="auto"/>
              <w:jc w:val="center"/>
              <w:rPr>
                <w:b/>
              </w:rPr>
            </w:pPr>
            <w:r w:rsidRPr="00000000">
              <w:rPr>
                <w:b/>
                <w:rtl w:val="0"/>
                <w:lang w:val="pt-BR"/>
              </w:rPr>
              <w:t>A</w:t>
            </w:r>
          </w:p>
          <w:p w:rsidR="00000000" w:rsidRPr="00000000" w:rsidP="00000000" w14:paraId="00000012">
            <w:pPr>
              <w:widowControl w:val="0"/>
              <w:bidi w:val="0"/>
              <w:spacing w:line="240" w:lineRule="auto"/>
              <w:jc w:val="center"/>
              <w:rPr>
                <w:b/>
              </w:rPr>
            </w:pPr>
            <w:r w:rsidRPr="00000000">
              <w:rPr>
                <w:b/>
                <w:rtl w:val="0"/>
                <w:lang w:val="pt-BR"/>
              </w:rPr>
              <w:t>Seleção de Estratégia</w:t>
            </w:r>
          </w:p>
          <w:p w:rsidR="00000000" w:rsidRPr="00000000" w:rsidP="00000000" w14:paraId="00000013">
            <w:pPr>
              <w:widowControl w:val="0"/>
              <w:bidi w:val="0"/>
              <w:spacing w:line="240" w:lineRule="auto"/>
              <w:jc w:val="center"/>
              <w:rPr>
                <w:b/>
              </w:rPr>
            </w:pPr>
            <w:r w:rsidRPr="00000000">
              <w:rPr>
                <w:b/>
                <w:rtl w:val="0"/>
                <w:lang w:val="pt-BR"/>
              </w:rPr>
              <w:t>(Use a lista acima)</w:t>
            </w:r>
          </w:p>
          <w:p w:rsidR="00000000" w:rsidRPr="00000000" w:rsidP="00000000" w14:paraId="00000014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5">
            <w:pPr>
              <w:widowControl w:val="0"/>
              <w:bidi w:val="0"/>
              <w:spacing w:line="240" w:lineRule="auto"/>
              <w:jc w:val="center"/>
              <w:rPr>
                <w:b/>
              </w:rPr>
            </w:pPr>
            <w:r w:rsidRPr="00000000">
              <w:rPr>
                <w:b/>
                <w:rtl w:val="0"/>
                <w:lang w:val="pt-BR"/>
              </w:rPr>
              <w:t>B</w:t>
            </w:r>
          </w:p>
          <w:p w:rsidR="00000000" w:rsidRPr="00000000" w:rsidP="00000000" w14:paraId="00000016">
            <w:pPr>
              <w:widowControl w:val="0"/>
              <w:bidi w:val="0"/>
              <w:spacing w:line="240" w:lineRule="auto"/>
              <w:jc w:val="center"/>
              <w:rPr>
                <w:b/>
              </w:rPr>
            </w:pPr>
            <w:r w:rsidRPr="00000000">
              <w:rPr>
                <w:b/>
                <w:rtl w:val="0"/>
                <w:lang w:val="pt-BR"/>
              </w:rPr>
              <w:t>Etapas de Ação e Descrição</w:t>
            </w:r>
          </w:p>
        </w:tc>
      </w:tr>
      <w:tr>
        <w:tblPrEx>
          <w:tblW w:w="930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7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Grupo 1: Você está com dificuldade para definir e entender o problema.</w:t>
            </w:r>
          </w:p>
          <w:p w:rsidR="00000000" w:rsidRPr="00000000" w:rsidP="00000000" w14:paraId="00000018">
            <w:pPr>
              <w:widowControl w:val="0"/>
              <w:spacing w:line="240" w:lineRule="auto"/>
            </w:pPr>
          </w:p>
          <w:p w:rsidR="00000000" w:rsidRPr="00000000" w:rsidP="00000000" w14:paraId="00000019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Exemplo: Dificuldade em identificar a origem de um aumento repentino nas reclamações de garantia para o modelo principal da GenPhone.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A">
            <w:pPr>
              <w:widowControl w:val="0"/>
              <w:spacing w:line="240" w:lineRule="auto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B">
            <w:pPr>
              <w:widowControl w:val="0"/>
              <w:spacing w:line="240" w:lineRule="auto"/>
            </w:pPr>
          </w:p>
        </w:tc>
      </w:tr>
      <w:tr>
        <w:tblPrEx>
          <w:tblW w:w="930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C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Grupo 2: Você tem medo de parecer mal ou de que não sabe o suficiente.</w:t>
            </w:r>
          </w:p>
          <w:p w:rsidR="00000000" w:rsidRPr="00000000" w:rsidP="00000000" w14:paraId="0000001D">
            <w:pPr>
              <w:widowControl w:val="0"/>
              <w:spacing w:line="240" w:lineRule="auto"/>
            </w:pPr>
          </w:p>
          <w:p w:rsidR="00000000" w:rsidRPr="00000000" w:rsidP="00000000" w14:paraId="0000001E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Exemplo: Hesitação em admitir lacunas na compreensão de como implementar algoritmos de machine learning para manutenção preditiva dos equipamentos de fabricação da GenPhone.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>
        <w:tblPrEx>
          <w:tblW w:w="930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1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Grupo 3: Você gasta tempo explorando ou pensando em informações que não contribuem para a resolução do problema.</w:t>
            </w:r>
          </w:p>
          <w:p w:rsidR="00000000" w:rsidRPr="00000000" w:rsidP="00000000" w14:paraId="00000022">
            <w:pPr>
              <w:widowControl w:val="0"/>
              <w:spacing w:line="240" w:lineRule="auto"/>
            </w:pPr>
          </w:p>
          <w:p w:rsidR="00000000" w:rsidRPr="00000000" w:rsidP="00000000" w14:paraId="00000023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Exemplo: Dificuldade em filtrar grandes volumes de dados de feedback do(a) usuário(a) para identificar insights acionáveis para melhorar a experiência do aplicativo móvel da GenPhone.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>
        <w:tblPrEx>
          <w:tblW w:w="930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6">
            <w:pPr>
              <w:widowControl w:val="0"/>
              <w:bidi w:val="0"/>
              <w:spacing w:line="240" w:lineRule="auto"/>
            </w:pPr>
            <w:r w:rsidRPr="00000000">
              <w:rPr>
                <w:rtl w:val="0"/>
                <w:lang w:val="pt-BR"/>
              </w:rPr>
              <w:t>Grupo 4: Você é incapaz de pensar em uma solução ou de contribuir para as respostas que foram oferecidas.</w:t>
            </w:r>
          </w:p>
          <w:p w:rsidR="00000000" w:rsidRPr="00000000" w:rsidP="00000000" w14:paraId="00000027">
            <w:pPr>
              <w:widowControl w:val="0"/>
              <w:spacing w:line="240" w:lineRule="auto"/>
            </w:pPr>
          </w:p>
          <w:p w:rsidR="00000000" w:rsidRPr="00000000" w:rsidP="00000000" w14:paraId="00000028">
            <w:pPr>
              <w:widowControl w:val="0"/>
              <w:bidi w:val="0"/>
              <w:spacing w:line="240" w:lineRule="auto"/>
              <w:rPr>
                <w:rFonts w:ascii="Calibri" w:eastAsia="Calibri" w:hAnsi="Calibri" w:cs="Calibri"/>
              </w:rPr>
            </w:pPr>
            <w:r w:rsidRPr="00000000">
              <w:rPr>
                <w:rtl w:val="0"/>
                <w:lang w:val="pt-BR"/>
              </w:rPr>
              <w:t>Exemplo: Sentir-se sobrecarregado(a) pela complexidade de integrar dados de vários departamentos dentro da organização da GenPhone para otimizar a eficiência do supply chain.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2A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000000" w:rsidRPr="00000000" w:rsidP="00000000" w14:paraId="0000002B">
      <w:pPr>
        <w:spacing w:line="276" w:lineRule="auto"/>
      </w:pP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alibri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D">
    <w:pPr>
      <w:bidi w:val="0"/>
      <w:spacing w:line="276" w:lineRule="auto"/>
      <w:jc w:val="center"/>
    </w:pPr>
    <w:r w:rsidRPr="00000000">
      <w:rPr>
        <w:rtl w:val="0"/>
        <w:lang w:val="pt-BR"/>
      </w:rPr>
      <w:t>© 2023 Generation: You Employed, Inc.</w:t>
    </w:r>
  </w:p>
  <w:p w:rsidR="00000000" w:rsidRPr="00000000" w:rsidP="00000000" w14:paraId="0000002E">
    <w:pPr>
      <w:spacing w:line="276" w:lineRule="auto"/>
      <w:jc w:val="right"/>
    </w:pPr>
    <w:r w:rsidRPr="00000000">
      <w:fldChar w:fldCharType="begin"/>
    </w:r>
    <w:r w:rsidRPr="00000000">
      <w:instrText>PAGE</w:instrText>
    </w:r>
    <w:r w:rsidRPr="00000000">
      <w:fldChar w:fldCharType="separate"/>
    </w:r>
    <w:r w:rsidRPr="00000000">
      <w:t>2</w:t>
    </w:r>
    <w:r w:rsidRPr="00000000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C">
    <w:pPr>
      <w:bidi w:val="0"/>
    </w:pPr>
    <w:r w:rsidRPr="00000000">
      <w:rPr>
        <w:rtl w:val="0"/>
        <w:lang w:val="pt-BR"/>
      </w:rPr>
      <w:t>DATA-INTRO-4 Folheto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71C77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</w:style>
  <w:style w:type="table" w:customStyle="1" w:styleId="TableNormal">
    <w:name w:val="TableNormal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