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rFonts w:ascii="Calibri Light" w:hAnsi="Calibri Light"/>
          <w:b/>
          <w:color w:val="003594"/>
          <w:sz w:val="42"/>
        </w:rPr>
        <w:t>Tutorial de uso — Sorteio de Salas · CIC Unesp</w:t>
      </w:r>
    </w:p>
    <w:p>
      <w:pPr>
        <w:jc w:val="both"/>
      </w:pPr>
      <w:r>
        <w:t>Este tutorial ensina, passo a passo, como usar a plataforma para distribuir trabalhos e avaliadores em salas do Congresso de Iniciação Científica e Tecnológica da Unesp.</w:t>
      </w:r>
    </w:p>
    <w:p>
      <w:pPr>
        <w:jc w:val="both"/>
      </w:pPr>
      <w:r>
        <w:rPr>
          <w:b/>
        </w:rPr>
        <w:t>Acesso:</w:t>
      </w:r>
      <w:r>
        <w:t xml:space="preserve"> https://chiavinik.github.io/sorteio-salas-cic/ — funciona direto no navegador, sem instalação e sem cadastro. </w:t>
      </w:r>
      <w:r>
        <w:rPr>
          <w:b/>
        </w:rPr>
        <w:t>Nenhum dado sai do seu computador.</w:t>
      </w:r>
    </w:p>
    <w:p>
      <w:pPr>
        <w:pStyle w:val="Heading1"/>
      </w:pPr>
      <w:r>
        <w:t>Antes de começar</w:t>
      </w:r>
    </w:p>
    <w:p>
      <w:pPr>
        <w:jc w:val="both"/>
      </w:pPr>
      <w:r>
        <w:t xml:space="preserve">Você vai precisar de </w:t>
      </w:r>
      <w:r>
        <w:rPr>
          <w:b/>
        </w:rPr>
        <w:t>duas planilhas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DE8FA"/>
          </w:tcPr>
          <w:p>
            <w:pPr>
              <w:spacing w:after="40"/>
            </w:pPr>
            <w:r>
              <w:rPr>
                <w:b/>
                <w:sz w:val="19"/>
              </w:rPr>
              <w:t>Planilha</w:t>
            </w:r>
          </w:p>
        </w:tc>
        <w:tc>
          <w:tcPr>
            <w:tcW w:type="dxa" w:w="4536"/>
            <w:shd w:val="clear" w:fill="DDE8FA"/>
          </w:tcPr>
          <w:p>
            <w:pPr>
              <w:spacing w:after="40"/>
            </w:pPr>
            <w:r>
              <w:rPr>
                <w:b/>
                <w:sz w:val="19"/>
              </w:rPr>
              <w:t>Formatos aceitos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b/>
                <w:sz w:val="19"/>
              </w:rPr>
              <w:t>Trabalhos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 xml:space="preserve">Template do app </w:t>
            </w:r>
            <w:r>
              <w:rPr>
                <w:b/>
                <w:sz w:val="19"/>
              </w:rPr>
              <w:t>ou</w:t>
            </w:r>
            <w:r>
              <w:rPr>
                <w:sz w:val="19"/>
              </w:rPr>
              <w:t xml:space="preserve"> a exportação do Even3 (ListaResultado), sem nenhuma alteração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b/>
                <w:sz w:val="19"/>
              </w:rPr>
              <w:t>Avaliadores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Template do app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A tela inicial mostra as três etapas do processo: </w:t>
      </w:r>
      <w:r>
        <w:rPr>
          <w:b/>
        </w:rPr>
        <w:t>Dados → Parâmetros → Resultado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inic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Tela inicial da aplicação</w:t>
      </w:r>
    </w:p>
    <w:p>
      <w:pPr>
        <w:pStyle w:val="Heading1"/>
      </w:pPr>
      <w:r>
        <w:t>Etapa 1 — Enviar os dados</w:t>
      </w:r>
    </w:p>
    <w:p>
      <w:pPr>
        <w:pStyle w:val="Heading2"/>
      </w:pPr>
      <w:r>
        <w:t>1.1 Baixar os templates</w:t>
      </w:r>
    </w:p>
    <w:p>
      <w:pPr>
        <w:jc w:val="both"/>
      </w:pPr>
      <w:r>
        <w:t xml:space="preserve">Em cada cartão (Trabalhos e Avaliadores), clique no botão </w:t>
      </w:r>
      <w:r>
        <w:rPr>
          <w:b/>
        </w:rPr>
        <w:t>Template</w:t>
      </w:r>
      <w:r>
        <w:t xml:space="preserve"> para baixar a planilha modelo. Cada arquivo tem uma aba </w:t>
      </w:r>
      <w:r>
        <w:rPr>
          <w:b/>
        </w:rPr>
        <w:t>Instruções</w:t>
      </w:r>
      <w:r>
        <w:t xml:space="preserve"> com o significado de cada coluna.</w:t>
      </w:r>
    </w:p>
    <w:p>
      <w:pPr>
        <w:pStyle w:val="Heading2"/>
      </w:pPr>
      <w:r>
        <w:t>1.2 Preencher as planilhas</w:t>
      </w:r>
    </w:p>
    <w:p>
      <w:pPr>
        <w:jc w:val="both"/>
      </w:pPr>
      <w:r>
        <w:rPr>
          <w:b/>
        </w:rPr>
        <w:t>Trabalhos</w:t>
      </w:r>
      <w:r>
        <w:t xml:space="preserve"> (uma linha por trabalho):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DE8FA"/>
          </w:tcPr>
          <w:p>
            <w:pPr>
              <w:spacing w:after="40"/>
            </w:pPr>
            <w:r>
              <w:rPr>
                <w:b/>
                <w:sz w:val="19"/>
              </w:rPr>
              <w:t>Coluna</w:t>
            </w:r>
          </w:p>
        </w:tc>
        <w:tc>
          <w:tcPr>
            <w:tcW w:type="dxa" w:w="4536"/>
            <w:shd w:val="clear" w:fill="DDE8FA"/>
          </w:tcPr>
          <w:p>
            <w:pPr>
              <w:spacing w:after="40"/>
            </w:pPr>
            <w:r>
              <w:rPr>
                <w:b/>
                <w:sz w:val="19"/>
              </w:rPr>
              <w:t>Como preencher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Número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Identificador do trabalho (ex.: número de submissão)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Título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Título completo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Categoria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Geral</w:t>
            </w:r>
            <w:r>
              <w:rPr>
                <w:sz w:val="19"/>
              </w:rPr>
              <w:t xml:space="preserve"> ou </w:t>
            </w:r>
            <w:r>
              <w:rPr>
                <w:rFonts w:ascii="Consolas" w:hAnsi="Consolas"/>
                <w:sz w:val="19"/>
              </w:rPr>
              <w:t>PIBIC Jr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Área temática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Opcional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Apresentador(es)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Separados por ponto e vírgula (;)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Autores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Todos os autores, separados por ponto e vírgula (;)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Orientador(a)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 xml:space="preserve">Nome do(a) orientador(a) </w:t>
            </w:r>
            <w:r>
              <w:rPr>
                <w:b/>
                <w:sz w:val="19"/>
              </w:rPr>
              <w:t>oficial</w:t>
            </w:r>
            <w:r>
              <w:rPr>
                <w:sz w:val="19"/>
              </w:rPr>
              <w:t xml:space="preserve"> — impede que avalie a própria sala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E-mail do(a) orientador(a)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Opcional, melhora a detecção de conflitos</w:t>
            </w:r>
          </w:p>
        </w:tc>
      </w:tr>
    </w:tbl>
    <w:p>
      <w:pPr>
        <w:spacing w:after="40"/>
      </w:pPr>
    </w:p>
    <w:p>
      <w:pPr>
        <w:spacing w:after="80"/>
        <w:ind w:left="567"/>
      </w:pPr>
      <w:r>
        <w:rPr>
          <w:rFonts w:ascii="Cambria" w:hAnsi="Cambria"/>
          <w:color w:val="002776"/>
          <w:sz w:val="21"/>
        </w:rPr>
      </w:r>
      <w:r>
        <w:rPr>
          <w:rFonts w:ascii="Cambria" w:hAnsi="Cambria"/>
          <w:color w:val="002776"/>
          <w:sz w:val="21"/>
        </w:rPr>
        <w:t xml:space="preserve">💡 </w:t>
      </w:r>
      <w:r>
        <w:rPr>
          <w:rFonts w:ascii="Cambria" w:hAnsi="Cambria"/>
          <w:b/>
          <w:color w:val="002776"/>
          <w:sz w:val="21"/>
        </w:rPr>
        <w:t>Atalho:</w:t>
      </w:r>
      <w:r>
        <w:rPr>
          <w:rFonts w:ascii="Cambria" w:hAnsi="Cambria"/>
          <w:color w:val="002776"/>
          <w:sz w:val="21"/>
        </w:rPr>
        <w:t xml:space="preserve"> se você tem a exportação do Even3, não precisa preencher nada — envie o</w:t>
      </w:r>
    </w:p>
    <w:p>
      <w:pPr>
        <w:spacing w:after="80"/>
        <w:ind w:left="567"/>
      </w:pPr>
      <w:r>
        <w:rPr>
          <w:rFonts w:ascii="Cambria" w:hAnsi="Cambria"/>
          <w:color w:val="002776"/>
          <w:sz w:val="21"/>
        </w:rPr>
      </w:r>
      <w:r>
        <w:rPr>
          <w:rFonts w:ascii="Cambria" w:hAnsi="Cambria"/>
          <w:color w:val="002776"/>
          <w:sz w:val="21"/>
        </w:rPr>
        <w:t>arquivo direto. O app detecta o formato, deriva a categoria da coluna "programa/agência"</w:t>
      </w:r>
    </w:p>
    <w:p>
      <w:pPr>
        <w:spacing w:after="80"/>
        <w:ind w:left="567"/>
      </w:pPr>
      <w:r>
        <w:rPr>
          <w:rFonts w:ascii="Cambria" w:hAnsi="Cambria"/>
          <w:color w:val="002776"/>
          <w:sz w:val="21"/>
        </w:rPr>
      </w:r>
      <w:r>
        <w:rPr>
          <w:rFonts w:ascii="Cambria" w:hAnsi="Cambria"/>
          <w:color w:val="002776"/>
          <w:sz w:val="21"/>
        </w:rPr>
        <w:t>e considera o(a) orientador(a) como o último nome da lista de autores (confira na prévia!).</w:t>
      </w:r>
    </w:p>
    <w:p>
      <w:pPr>
        <w:jc w:val="both"/>
      </w:pPr>
      <w:r>
        <w:rPr>
          <w:b/>
        </w:rPr>
        <w:t>Avaliadores</w:t>
      </w:r>
      <w:r>
        <w:t xml:space="preserve"> (uma linha por avaliador):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DE8FA"/>
          </w:tcPr>
          <w:p>
            <w:pPr>
              <w:spacing w:after="40"/>
            </w:pPr>
            <w:r>
              <w:rPr>
                <w:b/>
                <w:sz w:val="19"/>
              </w:rPr>
              <w:t>Coluna</w:t>
            </w:r>
          </w:p>
        </w:tc>
        <w:tc>
          <w:tcPr>
            <w:tcW w:type="dxa" w:w="4536"/>
            <w:shd w:val="clear" w:fill="DDE8FA"/>
          </w:tcPr>
          <w:p>
            <w:pPr>
              <w:spacing w:after="40"/>
            </w:pPr>
            <w:r>
              <w:rPr>
                <w:b/>
                <w:sz w:val="19"/>
              </w:rPr>
              <w:t>Como preencher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Nome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Nome completo (de preferência igual ao usado nos trabalhos)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E-mail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Opcional, melhora a detecção de conflitos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Função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Docente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Pós-graduando</w:t>
            </w:r>
            <w:r>
              <w:rPr>
                <w:sz w:val="19"/>
              </w:rPr>
              <w:t xml:space="preserve"> ou </w:t>
            </w:r>
            <w:r>
              <w:rPr>
                <w:rFonts w:ascii="Consolas" w:hAnsi="Consolas"/>
                <w:sz w:val="19"/>
              </w:rPr>
              <w:t>Externo</w:t>
            </w:r>
            <w:r>
              <w:rPr>
                <w:sz w:val="19"/>
              </w:rPr>
              <w:t xml:space="preserve"> — o sorteio garante 1 docente por sala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Tipo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Geral</w:t>
            </w:r>
            <w:r>
              <w:rPr>
                <w:sz w:val="19"/>
              </w:rPr>
              <w:t xml:space="preserve"> ou </w:t>
            </w:r>
            <w:r>
              <w:rPr>
                <w:rFonts w:ascii="Consolas" w:hAnsi="Consolas"/>
                <w:sz w:val="19"/>
              </w:rPr>
              <w:t>PIBIC Jr</w:t>
            </w:r>
            <w:r>
              <w:rPr>
                <w:sz w:val="19"/>
              </w:rPr>
              <w:t xml:space="preserve"> — PIBIC Jr tem prioridade nas salas PIBIC Jr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Instituição/Unidade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Opcional</w:t>
            </w:r>
          </w:p>
        </w:tc>
      </w:tr>
    </w:tbl>
    <w:p>
      <w:pPr>
        <w:spacing w:after="40"/>
      </w:pPr>
    </w:p>
    <w:p>
      <w:pPr>
        <w:pStyle w:val="Heading2"/>
      </w:pPr>
      <w:r>
        <w:t>1.3 Importar e conferir</w:t>
      </w:r>
    </w:p>
    <w:p>
      <w:pPr>
        <w:jc w:val="both"/>
      </w:pPr>
      <w:r>
        <w:t>Arraste cada arquivo para a área tracejada correspondente (ou clique para escolher). O app mostra imediatamente:</w:t>
      </w:r>
    </w:p>
    <w:p>
      <w:pPr>
        <w:pStyle w:val="ListBullet"/>
      </w:pPr>
      <w:r>
        <w:rPr>
          <w:b/>
        </w:rPr>
        <w:t>Etiquetas de resumo</w:t>
      </w:r>
      <w:r>
        <w:t xml:space="preserve"> — totais por categoria, função e tipo;</w:t>
      </w:r>
    </w:p>
    <w:p>
      <w:pPr>
        <w:pStyle w:val="ListBullet"/>
      </w:pPr>
      <w:r>
        <w:rPr>
          <w:b/>
        </w:rPr>
        <w:t>Alertas amarelos</w:t>
      </w:r>
      <w:r>
        <w:t xml:space="preserve"> — pontos que merecem conferência (ex.: trabalho sem categoria);</w:t>
      </w:r>
    </w:p>
    <w:p>
      <w:pPr>
        <w:pStyle w:val="ListBullet"/>
      </w:pPr>
      <w:r>
        <w:rPr>
          <w:b/>
        </w:rPr>
        <w:t>Prévia</w:t>
      </w:r>
      <w:r>
        <w:t xml:space="preserve"> — primeiras linhas interpretadas.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46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dos-importad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Dados importados com prévia e alertas</w:t>
      </w:r>
    </w:p>
    <w:p>
      <w:pPr>
        <w:jc w:val="both"/>
      </w:pPr>
      <w:r>
        <w:t xml:space="preserve">Confira se os totais fazem sentido e clique em </w:t>
      </w:r>
      <w:r>
        <w:rPr>
          <w:b/>
        </w:rPr>
        <w:t>Configurar sorteio</w:t>
      </w:r>
      <w:r>
        <w:t>.</w:t>
      </w:r>
    </w:p>
    <w:p>
      <w:pPr>
        <w:pStyle w:val="Heading1"/>
      </w:pPr>
      <w:r>
        <w:t>Etapa 2 — Configurar o sorteio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80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arametr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Tela de parâmetros do sorteio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DE8FA"/>
          </w:tcPr>
          <w:p>
            <w:pPr>
              <w:spacing w:after="40"/>
            </w:pPr>
            <w:r>
              <w:rPr>
                <w:b/>
                <w:sz w:val="19"/>
              </w:rPr>
              <w:t>Parâmetro</w:t>
            </w:r>
          </w:p>
        </w:tc>
        <w:tc>
          <w:tcPr>
            <w:tcW w:type="dxa" w:w="4536"/>
            <w:shd w:val="clear" w:fill="DDE8FA"/>
          </w:tcPr>
          <w:p>
            <w:pPr>
              <w:spacing w:after="40"/>
            </w:pPr>
            <w:r>
              <w:rPr>
                <w:b/>
                <w:sz w:val="19"/>
              </w:rPr>
              <w:t>O que significa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b/>
                <w:sz w:val="19"/>
              </w:rPr>
              <w:t>Trabalhos por sala (X)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Máximo de trabalhos que cada sala comporta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b/>
                <w:sz w:val="19"/>
              </w:rPr>
              <w:t>Avaliadores por sala (Y)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Quantos avaliadores cada sala deve receber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b/>
                <w:sz w:val="19"/>
              </w:rPr>
              <w:t>PIBIC Jr na mesma sala dos demais?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Desligado (padrão): salas exclusivas para PIBIC Jr. Ligado: tudo misturado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b/>
                <w:sz w:val="19"/>
              </w:rPr>
              <w:t>Salas PIBIC Jr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Quantidade de salas exclusivas (o app sugere o mínimo necessário)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b/>
                <w:sz w:val="19"/>
              </w:rPr>
              <w:t>Semente do sorteio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>Código que torna o sorteio reprodutível (veja abaixo)</w:t>
            </w:r>
          </w:p>
        </w:tc>
      </w:tr>
    </w:tbl>
    <w:p>
      <w:pPr>
        <w:spacing w:after="40"/>
      </w:pPr>
    </w:p>
    <w:p>
      <w:pPr>
        <w:spacing w:after="80"/>
        <w:ind w:left="567"/>
      </w:pPr>
      <w:r>
        <w:rPr>
          <w:rFonts w:ascii="Cambria" w:hAnsi="Cambria"/>
          <w:color w:val="002776"/>
          <w:sz w:val="21"/>
        </w:rPr>
      </w:r>
      <w:r>
        <w:rPr>
          <w:rFonts w:ascii="Cambria" w:hAnsi="Cambria"/>
          <w:color w:val="002776"/>
          <w:sz w:val="21"/>
        </w:rPr>
        <w:t xml:space="preserve">🎲 </w:t>
      </w:r>
      <w:r>
        <w:rPr>
          <w:rFonts w:ascii="Cambria" w:hAnsi="Cambria"/>
          <w:b/>
          <w:color w:val="002776"/>
          <w:sz w:val="21"/>
        </w:rPr>
        <w:t>O que é a semente?</w:t>
      </w:r>
      <w:r>
        <w:rPr>
          <w:rFonts w:ascii="Cambria" w:hAnsi="Cambria"/>
          <w:color w:val="002776"/>
          <w:sz w:val="21"/>
        </w:rPr>
        <w:t xml:space="preserve"> É um código curto (ex.: </w:t>
      </w:r>
      <w:r>
        <w:rPr>
          <w:rFonts w:ascii="Cambria" w:hAnsi="Cambria"/>
          <w:color w:val="002776"/>
          <w:sz w:val="21"/>
        </w:rPr>
        <w:t>OGLD4S</w:t>
      </w:r>
      <w:r>
        <w:rPr>
          <w:rFonts w:ascii="Cambria" w:hAnsi="Cambria"/>
          <w:color w:val="002776"/>
          <w:sz w:val="21"/>
        </w:rPr>
        <w:t>) que "trava" a aleatoriedade:</w:t>
      </w:r>
    </w:p>
    <w:p>
      <w:pPr>
        <w:spacing w:after="80"/>
        <w:ind w:left="567"/>
      </w:pPr>
      <w:r>
        <w:rPr>
          <w:rFonts w:ascii="Cambria" w:hAnsi="Cambria"/>
          <w:color w:val="002776"/>
          <w:sz w:val="21"/>
        </w:rPr>
      </w:r>
      <w:r>
        <w:rPr>
          <w:rFonts w:ascii="Cambria" w:hAnsi="Cambria"/>
          <w:color w:val="002776"/>
          <w:sz w:val="21"/>
        </w:rPr>
        <w:t>com os mesmos arquivos, os mesmos parâmetros e a mesma semente, o sorteio produz</w:t>
      </w:r>
    </w:p>
    <w:p>
      <w:pPr>
        <w:spacing w:after="80"/>
        <w:ind w:left="567"/>
      </w:pPr>
      <w:r>
        <w:rPr>
          <w:rFonts w:ascii="Cambria" w:hAnsi="Cambria"/>
          <w:color w:val="002776"/>
          <w:sz w:val="21"/>
        </w:rPr>
      </w:r>
      <w:r>
        <w:rPr>
          <w:rFonts w:ascii="Cambria" w:hAnsi="Cambria"/>
          <w:b/>
          <w:color w:val="002776"/>
          <w:sz w:val="21"/>
        </w:rPr>
        <w:t>exatamente o mesmo resultado</w:t>
      </w:r>
      <w:r>
        <w:rPr>
          <w:rFonts w:ascii="Cambria" w:hAnsi="Cambria"/>
          <w:color w:val="002776"/>
          <w:sz w:val="21"/>
        </w:rPr>
        <w:t xml:space="preserve"> — em qualquer computador. Anote a semente usada no evento</w:t>
      </w:r>
    </w:p>
    <w:p>
      <w:pPr>
        <w:spacing w:after="80"/>
        <w:ind w:left="567"/>
      </w:pPr>
      <w:r>
        <w:rPr>
          <w:rFonts w:ascii="Cambria" w:hAnsi="Cambria"/>
          <w:color w:val="002776"/>
          <w:sz w:val="21"/>
        </w:rPr>
      </w:r>
      <w:r>
        <w:rPr>
          <w:rFonts w:ascii="Cambria" w:hAnsi="Cambria"/>
          <w:color w:val="002776"/>
          <w:sz w:val="21"/>
        </w:rPr>
        <w:t>para poder auditar ou reproduzir o sorteio depois. O botão ao lado gera uma nova semente.</w:t>
      </w:r>
    </w:p>
    <w:p>
      <w:pPr>
        <w:jc w:val="both"/>
      </w:pPr>
      <w:r>
        <w:t xml:space="preserve">O painel </w:t>
      </w:r>
      <w:r>
        <w:rPr>
          <w:b/>
        </w:rPr>
        <w:t>Prévia</w:t>
      </w:r>
      <w:r>
        <w:t xml:space="preserve"> à direita mostra o dimensionamento calculado (salas gerais e PIBIC Jr, avaliadores necessários × disponíveis, docentes) e exibe alertas caso algo não feche — por exemplo, docentes insuficientes para o número de salas.</w:t>
      </w:r>
    </w:p>
    <w:p>
      <w:pPr>
        <w:jc w:val="both"/>
      </w:pPr>
      <w:r>
        <w:t xml:space="preserve">Quando estiver tudo certo, clique em </w:t>
      </w:r>
      <w:r>
        <w:rPr>
          <w:b/>
        </w:rPr>
        <w:t>Sortear salas</w:t>
      </w:r>
      <w:r>
        <w:t>.</w:t>
      </w:r>
    </w:p>
    <w:p>
      <w:pPr>
        <w:pStyle w:val="Heading1"/>
      </w:pPr>
      <w:r>
        <w:t>Etapa 3 — Revisar, ajustar e exportar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181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sulta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8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Resultado do sorteio com salas e pendências</w:t>
      </w:r>
    </w:p>
    <w:p>
      <w:pPr>
        <w:pStyle w:val="Heading2"/>
      </w:pPr>
      <w:r>
        <w:t>3.1 Entender o resultado</w:t>
      </w:r>
    </w:p>
    <w:p>
      <w:pPr>
        <w:pStyle w:val="ListBullet"/>
      </w:pPr>
      <w:r>
        <w:rPr>
          <w:b/>
        </w:rPr>
        <w:t>Cartões de estatísticas:</w:t>
      </w:r>
      <w:r>
        <w:t xml:space="preserve"> salas criadas, trabalhos alocados, avaliadores usados e reserva;</w:t>
      </w:r>
    </w:p>
    <w:p>
      <w:pPr>
        <w:pStyle w:val="ListBullet"/>
      </w:pPr>
      <w:r>
        <w:rPr>
          <w:b/>
        </w:rPr>
        <w:t>Painel de pendências</w:t>
      </w:r>
      <w:r>
        <w:t xml:space="preserve">, em três níveis: - 🔴 </w:t>
      </w:r>
      <w:r>
        <w:rPr>
          <w:b/>
        </w:rPr>
        <w:t>Conflitos</w:t>
      </w:r>
      <w:r>
        <w:t xml:space="preserve"> — violações de regra rígida (ex.: sala sem docente). Exigem atenção; - 🟡 </w:t>
      </w:r>
      <w:r>
        <w:rPr>
          <w:b/>
        </w:rPr>
        <w:t>Recomendações não atendidas</w:t>
      </w:r>
      <w:r>
        <w:t xml:space="preserve"> — situações inevitáveis ou toleráveis (ex.: dois trabalhos do mesmo orientador na mesma sala quando não há salas suficientes); - ⚪ </w:t>
      </w:r>
      <w:r>
        <w:rPr>
          <w:b/>
        </w:rPr>
        <w:t>Informações</w:t>
      </w:r>
      <w:r>
        <w:t xml:space="preserve"> — observações neutras;</w:t>
      </w:r>
    </w:p>
    <w:p>
      <w:pPr>
        <w:pStyle w:val="ListBullet"/>
      </w:pPr>
      <w:r>
        <w:rPr>
          <w:b/>
        </w:rPr>
        <w:t>Cartões de sala:</w:t>
      </w:r>
      <w:r>
        <w:t xml:space="preserve"> avaliadores (com etiquetas de função e tipo) e trabalhos (com número, orientador e categoria). Etiquetas coloridas indicam qualquer situação relevante, como </w:t>
      </w:r>
      <w:r>
        <w:rPr>
          <w:rFonts w:ascii="Consolas" w:hAnsi="Consolas"/>
          <w:sz w:val="19"/>
        </w:rPr>
        <w:t>orientador repetido</w:t>
      </w:r>
      <w:r>
        <w:t xml:space="preserve"> ou </w:t>
      </w:r>
      <w:r>
        <w:rPr>
          <w:rFonts w:ascii="Consolas" w:hAnsi="Consolas"/>
          <w:sz w:val="19"/>
        </w:rPr>
        <w:t>coautor</w:t>
      </w:r>
      <w:r>
        <w:t>.</w:t>
      </w:r>
    </w:p>
    <w:p>
      <w:pPr>
        <w:pStyle w:val="Heading2"/>
      </w:pPr>
      <w:r>
        <w:t>3.2 Ajustes manuais</w:t>
      </w:r>
    </w:p>
    <w:p>
      <w:pPr>
        <w:jc w:val="both"/>
      </w:pPr>
      <w:r>
        <w:t xml:space="preserve">Cada trabalho e cada avaliador tem um </w:t>
      </w:r>
      <w:r>
        <w:rPr>
          <w:b/>
        </w:rPr>
        <w:t>botão de mover</w:t>
      </w:r>
      <w:r>
        <w:t xml:space="preserve"> (setas ⇄) que abre a lista de destinos possíveis: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juste-manu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Menu de movimentação de avaliador entre salas</w:t>
      </w:r>
    </w:p>
    <w:p>
      <w:pPr>
        <w:pStyle w:val="ListBullet"/>
      </w:pPr>
      <w:r>
        <w:t xml:space="preserve">Destinos em </w:t>
      </w:r>
      <w:r>
        <w:rPr>
          <w:b/>
        </w:rPr>
        <w:t>vermelho</w:t>
      </w:r>
      <w:r>
        <w:t xml:space="preserve"> criariam um conflito rígido (orientador avaliando a própria sala);</w:t>
      </w:r>
    </w:p>
    <w:p>
      <w:pPr>
        <w:pStyle w:val="ListBullet"/>
      </w:pPr>
      <w:r>
        <w:t xml:space="preserve">Destinos em </w:t>
      </w:r>
      <w:r>
        <w:rPr>
          <w:b/>
        </w:rPr>
        <w:t>âmbar</w:t>
      </w:r>
      <w:r>
        <w:t xml:space="preserve"> violariam uma recomendação (sala cheia, orientador repetido, coautoria);</w:t>
      </w:r>
    </w:p>
    <w:p>
      <w:pPr>
        <w:pStyle w:val="ListBullet"/>
      </w:pPr>
      <w:r>
        <w:t xml:space="preserve">A cada movimento, </w:t>
      </w:r>
      <w:r>
        <w:rPr>
          <w:b/>
        </w:rPr>
        <w:t>todas as validações são recalculadas</w:t>
      </w:r>
      <w:r>
        <w:t xml:space="preserve"> e o painel de pendências é atualizado na hora;</w:t>
      </w:r>
    </w:p>
    <w:p>
      <w:pPr>
        <w:pStyle w:val="ListBullet"/>
      </w:pPr>
      <w:r>
        <w:t xml:space="preserve">Avaliadores também podem ser enviados para a </w:t>
      </w:r>
      <w:r>
        <w:rPr>
          <w:b/>
        </w:rPr>
        <w:t>Reserva</w:t>
      </w:r>
      <w:r>
        <w:t xml:space="preserve"> (ou trazidos dela para uma sala).</w:t>
      </w:r>
    </w:p>
    <w:p>
      <w:pPr>
        <w:spacing w:after="80"/>
        <w:ind w:left="567"/>
      </w:pPr>
      <w:r>
        <w:rPr>
          <w:rFonts w:ascii="Cambria" w:hAnsi="Cambria"/>
          <w:color w:val="002776"/>
          <w:sz w:val="21"/>
        </w:rPr>
      </w:r>
      <w:r>
        <w:rPr>
          <w:rFonts w:ascii="Cambria" w:hAnsi="Cambria"/>
          <w:color w:val="002776"/>
          <w:sz w:val="21"/>
        </w:rPr>
        <w:t>✅ Você tem a palavra final: o app permite qualquer movimento, mas nunca deixa um conflito</w:t>
      </w:r>
    </w:p>
    <w:p>
      <w:pPr>
        <w:spacing w:after="80"/>
        <w:ind w:left="567"/>
      </w:pPr>
      <w:r>
        <w:rPr>
          <w:rFonts w:ascii="Cambria" w:hAnsi="Cambria"/>
          <w:color w:val="002776"/>
          <w:sz w:val="21"/>
        </w:rPr>
      </w:r>
      <w:r>
        <w:rPr>
          <w:rFonts w:ascii="Cambria" w:hAnsi="Cambria"/>
          <w:color w:val="002776"/>
          <w:sz w:val="21"/>
        </w:rPr>
        <w:t>passar despercebido.</w:t>
      </w:r>
    </w:p>
    <w:p>
      <w:pPr>
        <w:pStyle w:val="Heading2"/>
      </w:pPr>
      <w:r>
        <w:t>3.3 Re-sortear</w:t>
      </w:r>
    </w:p>
    <w:p>
      <w:pPr>
        <w:jc w:val="both"/>
      </w:pPr>
      <w:r>
        <w:t xml:space="preserve">Não gostou da distribuição? O botão </w:t>
      </w:r>
      <w:r>
        <w:rPr>
          <w:b/>
        </w:rPr>
        <w:t>Re-sortear</w:t>
      </w:r>
      <w:r>
        <w:t xml:space="preserve"> gera uma nova semente e refaz tudo. Para repetir um sorteio específico, volte em </w:t>
      </w:r>
      <w:r>
        <w:rPr>
          <w:b/>
        </w:rPr>
        <w:t>Parâmetros</w:t>
      </w:r>
      <w:r>
        <w:t xml:space="preserve"> e informe a semente desejada.</w:t>
      </w:r>
    </w:p>
    <w:p>
      <w:pPr>
        <w:pStyle w:val="Heading2"/>
      </w:pPr>
      <w:r>
        <w:t>3.4 Exportar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DDE8FA"/>
          </w:tcPr>
          <w:p>
            <w:pPr>
              <w:spacing w:after="40"/>
            </w:pPr>
            <w:r>
              <w:rPr>
                <w:b/>
                <w:sz w:val="19"/>
              </w:rPr>
              <w:t>Botão</w:t>
            </w:r>
          </w:p>
        </w:tc>
        <w:tc>
          <w:tcPr>
            <w:tcW w:type="dxa" w:w="4536"/>
            <w:shd w:val="clear" w:fill="DDE8FA"/>
          </w:tcPr>
          <w:p>
            <w:pPr>
              <w:spacing w:after="40"/>
            </w:pPr>
            <w:r>
              <w:rPr>
                <w:b/>
                <w:sz w:val="19"/>
              </w:rPr>
              <w:t>O que gera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b/>
                <w:sz w:val="19"/>
              </w:rPr>
              <w:t>Exportar Excel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 xml:space="preserve">Arquivo </w:t>
            </w:r>
            <w:r>
              <w:rPr>
                <w:rFonts w:ascii="Consolas" w:hAnsi="Consolas"/>
                <w:sz w:val="19"/>
              </w:rPr>
              <w:t>Resultado_Sorteio_CIC.xlsx</w:t>
            </w:r>
            <w:r>
              <w:rPr>
                <w:sz w:val="19"/>
              </w:rPr>
              <w:t xml:space="preserve"> com três abas: Resumo (visão geral por sala), Trabalhos por sala e Avaliadores por sala (incluindo a reserva)</w:t>
            </w:r>
          </w:p>
        </w:tc>
      </w:tr>
      <w:tr>
        <w:tc>
          <w:tcPr>
            <w:tcW w:type="dxa" w:w="4536"/>
          </w:tcPr>
          <w:p>
            <w:pPr>
              <w:spacing w:after="40"/>
            </w:pPr>
            <w:r>
              <w:rPr>
                <w:b/>
                <w:sz w:val="19"/>
              </w:rPr>
              <w:t>Imprimir</w:t>
            </w:r>
          </w:p>
        </w:tc>
        <w:tc>
          <w:tcPr>
            <w:tcW w:type="dxa" w:w="4536"/>
          </w:tcPr>
          <w:p>
            <w:pPr>
              <w:spacing w:after="40"/>
            </w:pPr>
            <w:r>
              <w:rPr>
                <w:sz w:val="19"/>
              </w:rPr>
              <w:t xml:space="preserve">Versão de impressão com </w:t>
            </w:r>
            <w:r>
              <w:rPr>
                <w:b/>
                <w:sz w:val="19"/>
              </w:rPr>
              <w:t>uma sala por página</w:t>
            </w:r>
            <w:r>
              <w:rPr>
                <w:sz w:val="19"/>
              </w:rPr>
              <w:t xml:space="preserve"> (avaliadores + trabalhos), ideal para fixar nas portas das salas. Na janela de impressão, escolha "Salvar como PDF" para gerar um arquivo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impress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Visão de impressão com uma sala por página</w:t>
      </w:r>
    </w:p>
    <w:p>
      <w:pPr>
        <w:pStyle w:val="Heading1"/>
      </w:pPr>
      <w:r>
        <w:t>Perguntas frequentes</w:t>
      </w:r>
    </w:p>
    <w:p>
      <w:pPr>
        <w:jc w:val="both"/>
      </w:pPr>
      <w:r>
        <w:rPr>
          <w:b/>
        </w:rPr>
        <w:t>Os dados ficam salvos em algum lugar?</w:t>
      </w:r>
      <w:r>
        <w:t xml:space="preserve"> Não. Tudo é processado na memória do navegador. Ao recarregar a página, envie as planilhas novamente. Nenhuma informação é transmitida pela internet.</w:t>
      </w:r>
    </w:p>
    <w:p>
      <w:pPr>
        <w:jc w:val="both"/>
      </w:pPr>
      <w:r>
        <w:rPr>
          <w:b/>
        </w:rPr>
        <w:t>O nome do avaliador está abreviado e diferente do nome nos trabalhos. Funciona?</w:t>
      </w:r>
      <w:r>
        <w:t xml:space="preserve"> Sim, na maioria dos casos: o app reconhece abreviações como "Hugo Bendini" ≈ "Hugo do Nascimento Bendini". Para garantir 100% de precisão, preencha o e-mail do orientador no template de trabalhos e o e-mail do avaliador no template de avaliadores.</w:t>
      </w:r>
    </w:p>
    <w:p>
      <w:pPr>
        <w:jc w:val="both"/>
      </w:pPr>
      <w:r>
        <w:rPr>
          <w:b/>
        </w:rPr>
        <w:t>Apareceu "2 trabalhos do mesmo orientador na mesma sala". É um erro?</w:t>
      </w:r>
      <w:r>
        <w:t xml:space="preserve"> É uma recomendação não atendida. Se o orientador tem mais trabalhos do que existem salas disponíveis na categoria, a repetição é matematicamente inevitável — o app avisa em vez de esconder. Você pode aumentar o número de salas ou aceitar a repetição.</w:t>
      </w:r>
    </w:p>
    <w:p>
      <w:pPr>
        <w:jc w:val="both"/>
      </w:pPr>
      <w:r>
        <w:rPr>
          <w:b/>
        </w:rPr>
        <w:t>Faltaram avaliadores ou docentes. O que fazer?</w:t>
      </w:r>
      <w:r>
        <w:t xml:space="preserve"> A prévia da Etapa 2 avisa antes do sorteio. As opções são: reduzir avaliadores por sala (Y), aumentar trabalhos por sala (X, criando menos salas) ou incluir mais avaliadores na planilha.</w:t>
      </w:r>
    </w:p>
    <w:p>
      <w:pPr>
        <w:jc w:val="both"/>
      </w:pPr>
      <w:r>
        <w:rPr>
          <w:b/>
        </w:rPr>
        <w:t>Posso usar em outro congresso/câmpus?</w:t>
      </w:r>
      <w:r>
        <w:t xml:space="preserve"> Sim — basta preencher os templates. As regras (X, Y, PIBIC Jr) são configuráveis a cada uso.</w:t>
      </w:r>
    </w:p>
    <w:p>
      <w:pPr>
        <w:pStyle w:val="Heading1"/>
      </w:pPr>
      <w:r>
        <w:t>Suporte</w:t>
      </w:r>
    </w:p>
    <w:p>
      <w:pPr>
        <w:jc w:val="both"/>
      </w:pPr>
      <w:r>
        <w:t xml:space="preserve">Dúvidas, problemas ou sugestões: abra uma </w:t>
      </w:r>
      <w:r>
        <w:rPr>
          <w:i/>
        </w:rPr>
        <w:t>issue</w:t>
      </w:r>
      <w:r>
        <w:t xml:space="preserve"> em https://github.com/ChiaviniK/sorteio-salas-cic/issues.</w:t>
      </w:r>
    </w:p>
    <w:p>
      <w:pPr>
        <w:jc w:val="both"/>
      </w:pPr>
      <w:r>
        <w:rPr>
          <w:b/>
        </w:rPr>
        <w:t>Desenvolvedor responsável:</w:t>
      </w:r>
      <w:r>
        <w:t xml:space="preserve"> Luiz Cláudio Chiavini Oliveira Júnior</w:t>
      </w:r>
    </w:p>
    <w:sectPr w:rsidR="00FC693F" w:rsidRPr="0006063C" w:rsidSect="00034616">
      <w:footerReference w:type="default" r:id="rId9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 xml:space="preserve">Sorteio de Salas . CIC Unesp - Tutorial de uso · página </w:t>
    </w:r>
    <w:r>
      <w:rPr>
        <w:color w:val="475569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0359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00277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