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E7C66"/>
          <w:sz w:val="28"/>
        </w:rPr>
        <w:t>TrustLedger</w:t>
      </w:r>
    </w:p>
    <w:p>
      <w:r>
        <w:rPr>
          <w:rFonts w:ascii="Calibri" w:hAnsi="Calibri" w:eastAsia="Calibri"/>
          <w:b/>
          <w:color w:val="12202A"/>
          <w:sz w:val="36"/>
        </w:rPr>
        <w:t>TrustLedger Product Versions</w:t>
      </w:r>
    </w:p>
    <w:p>
      <w:r>
        <w:rPr>
          <w:rFonts w:ascii="Calibri" w:hAnsi="Calibri" w:eastAsia="Calibri"/>
          <w:b w:val="0"/>
          <w:color w:val="5B6B76"/>
          <w:sz w:val="18"/>
        </w:rPr>
        <w:t>Generated from repository documentation · Confidential internal use</w:t>
      </w:r>
    </w:p>
    <w:p/>
    <w:p>
      <w:pPr>
        <w:spacing w:before="200"/>
      </w:pPr>
      <w:r>
        <w:rPr>
          <w:rFonts w:ascii="Calibri" w:hAnsi="Calibri" w:eastAsia="Calibri"/>
          <w:b/>
          <w:color w:val="085F4D"/>
          <w:sz w:val="32"/>
        </w:rPr>
        <w:t>TrustLedger product versions</w:t>
      </w:r>
    </w:p>
    <w:p>
      <w:pPr>
        <w:ind w:left="288"/>
      </w:pPr>
      <w:r>
        <w:rPr>
          <w:rFonts w:ascii="Calibri" w:hAnsi="Calibri" w:eastAsia="Calibri"/>
          <w:b w:val="0"/>
          <w:color w:val="5B6B76"/>
          <w:sz w:val="20"/>
        </w:rPr>
        <w:t xml:space="preserve">Living commercial/public labels. For plan packaging, evaluation, and agent scripts see </w:t>
      </w:r>
      <w:r>
        <w:rPr>
          <w:rFonts w:ascii="Calibri" w:hAnsi="Calibri" w:eastAsia="Calibri"/>
          <w:b/>
          <w:color w:val="5B6B76"/>
          <w:sz w:val="20"/>
        </w:rPr>
        <w:t>`docs/PLATFORM_STRATEGIC_BRIEF.md`</w:t>
      </w:r>
      <w:r>
        <w:rPr>
          <w:rFonts w:ascii="Calibri" w:hAnsi="Calibri" w:eastAsia="Calibri"/>
          <w:b w:val="0"/>
          <w:color w:val="5B6B76"/>
          <w:sz w:val="20"/>
        </w:rPr>
        <w:t>.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Version 001 (current — live resolution desk)</w:t>
      </w:r>
    </w:p>
    <w:p>
      <w:r>
        <w:rPr>
          <w:rFonts w:ascii="Calibri" w:hAnsi="Calibri" w:eastAsia="Calibri"/>
          <w:b/>
          <w:sz w:val="21"/>
        </w:rPr>
        <w:t>Name in UI / public:</w:t>
      </w:r>
      <w:r>
        <w:rPr>
          <w:rFonts w:ascii="Calibri" w:hAnsi="Calibri" w:eastAsia="Calibri"/>
          <w:b w:val="0"/>
          <w:sz w:val="21"/>
        </w:rPr>
        <w:t xml:space="preserve"> TrustLedger </w:t>
      </w:r>
      <w:r>
        <w:rPr>
          <w:rFonts w:ascii="Calibri" w:hAnsi="Calibri" w:eastAsia="Calibri"/>
          <w:b/>
          <w:sz w:val="21"/>
        </w:rPr>
        <w:t>Version 001</w:t>
      </w:r>
    </w:p>
    <w:p>
      <w:r>
        <w:rPr>
          <w:rFonts w:ascii="Calibri" w:hAnsi="Calibri" w:eastAsia="Calibri"/>
          <w:b/>
          <w:sz w:val="21"/>
        </w:rPr>
        <w:t>What it is:</w:t>
      </w:r>
      <w:r>
        <w:rPr>
          <w:rFonts w:ascii="Calibri" w:hAnsi="Calibri" w:eastAsia="Calibri"/>
          <w:b w:val="0"/>
          <w:sz w:val="21"/>
        </w:rPr>
        <w:t xml:space="preserve"> Grievance / resolution desk + role workspaces + trial/pay + Cloud-backed ops for paying Owners.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Included</w:t>
            </w:r>
          </w:p>
        </w:tc>
        <w:tc>
          <w:tcPr>
            <w:tcW w:type="dxa" w:w="504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Notes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Role dashboards (community / contractor / client / admin)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Trial own-data or live Cloud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Projects (light) + Incidents / grievance intake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Core pain wedge — GO LIVE Done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AI assist (suggest → human apply)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Mock default; Cloud path when configured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14-day own-data trial + Paystack subscribe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Sample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/demo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retired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Live login + email verification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Buyers after provision (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PLATFORM_OPERATOR_ONLY=0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Marketing home, assessment, Ops plane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Not the full ESIP MVP</w:t>
            </w:r>
          </w:p>
        </w:tc>
      </w:tr>
    </w:tbl>
    <w:p/>
    <w:p>
      <w:r>
        <w:rPr>
          <w:rFonts w:ascii="Calibri" w:hAnsi="Calibri" w:eastAsia="Calibri"/>
          <w:b/>
          <w:sz w:val="21"/>
        </w:rPr>
        <w:t>Public line:</w:t>
      </w:r>
    </w:p>
    <w:p>
      <w:r>
        <w:rPr>
          <w:rFonts w:ascii="Calibri" w:hAnsi="Calibri" w:eastAsia="Calibri"/>
          <w:b w:val="0"/>
          <w:sz w:val="21"/>
        </w:rPr>
        <w:t>*Version 001 is live — the trust &amp; grievance resolution desk. Stakeholder Intelligence (registry, engagements, commitments) is available on entitled Version 002 surfaces and continues to deepen on Cloud.*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Version 002 (active — Stakeholder Intelligence core)</w:t>
      </w:r>
    </w:p>
    <w:p>
      <w:r>
        <w:rPr>
          <w:rFonts w:ascii="Calibri" w:hAnsi="Calibri" w:eastAsia="Calibri"/>
          <w:b/>
          <w:sz w:val="21"/>
        </w:rPr>
        <w:t>Goal:</w:t>
      </w:r>
      <w:r>
        <w:rPr>
          <w:rFonts w:ascii="Calibri" w:hAnsi="Calibri" w:eastAsia="Calibri"/>
          <w:b w:val="0"/>
          <w:sz w:val="21"/>
        </w:rPr>
        <w:t xml:space="preserve"> Close the gap vs market tools on the SRM engine buyers actually need.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Domain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Outcome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Posture (2026-07-23)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Geo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SA hierarchy + place links; socio-econ layers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ZA pack seeded; Stats SA deferred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Stakeholders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Registry (people, orgs, influence, interests)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UI +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Cloud DocType/BFF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Engagements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Meetings, consultations, minutes/actions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UI +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Cloud DocType/BFF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Commitments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Promise → owner → deadline → evidence → closed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UI + </w:t>
            </w:r>
            <w:r>
              <w:rPr>
                <w:rFonts w:ascii="Calibri" w:hAnsi="Calibri" w:eastAsia="Calibri"/>
                <w:b/>
                <w:color w:val="12202A"/>
                <w:sz w:val="17"/>
              </w:rPr>
              <w:t>Cloud DocType/BFF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Stronger grievance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Fuller lifecycle on Frappe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UI stamps; Cloud stamps next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Reports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Operational + executive packs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Dual hub shipped; live SI bind next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Intelligence / ESG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Indicators, trust/ESG depth, stronger AI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Demo indicators; live Grok deferred</w:t>
            </w:r>
          </w:p>
        </w:tc>
      </w:tr>
    </w:tbl>
    <w:p/>
    <w:p>
      <w:r>
        <w:rPr>
          <w:rFonts w:ascii="Calibri" w:hAnsi="Calibri" w:eastAsia="Calibri"/>
          <w:b/>
          <w:sz w:val="21"/>
        </w:rPr>
        <w:t>Public line:</w:t>
      </w:r>
    </w:p>
    <w:p>
      <w:r>
        <w:rPr>
          <w:rFonts w:ascii="Calibri" w:hAnsi="Calibri" w:eastAsia="Calibri"/>
          <w:b w:val="0"/>
          <w:sz w:val="21"/>
        </w:rPr>
        <w:t>*Version 002 — Stakeholder Intelligence core on Cloud for entitled plans. Still deepening versus the full Engineering Documentation Series blueprint — Version 001 remains the resolution desk.*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Version 003+ (later)</w:t>
      </w:r>
    </w:p>
    <w:p>
      <w:r>
        <w:rPr>
          <w:rFonts w:ascii="Calibri" w:hAnsi="Calibri" w:eastAsia="Calibri"/>
          <w:b w:val="0"/>
          <w:sz w:val="21"/>
        </w:rPr>
        <w:t>Public portal, offline/mobile, GIS editing, marketplace — TEDS “future scope”. Do not market as imminent.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Rules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>Never market Version 002/003 capabilities as “fully available” until the domain is end-to-end (UI + durable data path). Label illustrative data honestly.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>Soft commercial honesty: Practitioner ≠ full SI; Project/Institutional carry the SRM engine (</w:t>
      </w:r>
      <w:r>
        <w:rPr>
          <w:rFonts w:ascii="Consolas" w:hAnsi="Consolas" w:eastAsia="Calibri"/>
          <w:b w:val="0"/>
          <w:color w:val="085F4D"/>
          <w:sz w:val="20"/>
        </w:rPr>
        <w:t>docs/PLATFORM_STRATEGIC_BRIEF.md</w:t>
      </w:r>
      <w:r>
        <w:rPr>
          <w:rFonts w:ascii="Calibri" w:hAnsi="Calibri" w:eastAsia="Calibri"/>
          <w:b w:val="0"/>
          <w:sz w:val="21"/>
        </w:rPr>
        <w:t xml:space="preserve"> §5).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>Version badge stays visible in the app shell and marketing footer.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>Sample guest demo is discontinued (ADR-033).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