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80"/>
      </w:pPr>
      <w:r>
        <w:rPr>
          <w:rFonts w:ascii="Calibri" w:hAnsi="Calibri"/>
          <w:b/>
          <w:color w:val="0F2434"/>
          <w:sz w:val="52"/>
        </w:rPr>
        <w:t>SIMShield Architecture &amp; Decision Report</w:t>
      </w:r>
    </w:p>
    <w:p>
      <w:pPr>
        <w:keepNext/>
        <w:spacing w:before="0" w:after="320"/>
      </w:pPr>
      <w:r>
        <w:rPr>
          <w:rFonts w:ascii="Calibri" w:hAnsi="Calibri"/>
          <w:color w:val="345063"/>
          <w:sz w:val="26"/>
        </w:rPr>
        <w:t>Translating the Bold Idea into Complete Multi-Actor User Interfaces, Progressive UI Architecture, and Interface-Derived Backend Contracts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Project Attribute</w:t>
            </w:r>
          </w:p>
        </w:tc>
        <w:tc>
          <w:tcPr>
            <w:tcW w:type="dxa" w:w="61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Specification &amp; Architectural Baseline</w:t>
            </w:r>
          </w:p>
        </w:tc>
      </w:tr>
      <w:tr>
        <w:trPr>
          <w:cantSplit/>
        </w:trPr>
        <w:tc>
          <w:tcPr>
            <w:tcW w:type="dxa" w:w="316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Project / Startup Name</w:t>
            </w:r>
          </w:p>
        </w:tc>
        <w:tc>
          <w:tcPr>
            <w:tcW w:type="dxa" w:w="61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SIMShield: Banking Cybersecurity &amp; SIM-Swap Anomaly Detection</w:t>
            </w:r>
          </w:p>
        </w:tc>
      </w:tr>
      <w:tr>
        <w:trPr>
          <w:cantSplit/>
        </w:trPr>
        <w:tc>
          <w:tcPr>
            <w:tcW w:type="dxa" w:w="316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Programme Context</w:t>
            </w:r>
          </w:p>
        </w:tc>
        <w:tc>
          <w:tcPr>
            <w:tcW w:type="dxa" w:w="61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Master the Skill of Building RAG-Based LLM Apps (19-Day 'Bold Idea to Pitchable MVP Startup')</w:t>
            </w:r>
          </w:p>
        </w:tc>
      </w:tr>
      <w:tr>
        <w:trPr>
          <w:cantSplit/>
        </w:trPr>
        <w:tc>
          <w:tcPr>
            <w:tcW w:type="dxa" w:w="316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Programme Leadership</w:t>
            </w:r>
          </w:p>
        </w:tc>
        <w:tc>
          <w:tcPr>
            <w:tcW w:type="dxa" w:w="61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Facilitator: Mr. Eric Taniform | Phase 1: Product &amp; System Foundations</w:t>
            </w:r>
          </w:p>
        </w:tc>
      </w:tr>
      <w:tr>
        <w:trPr>
          <w:cantSplit/>
        </w:trPr>
        <w:tc>
          <w:tcPr>
            <w:tcW w:type="dxa" w:w="316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Authoritative Handover</w:t>
            </w:r>
          </w:p>
        </w:tc>
        <w:tc>
          <w:tcPr>
            <w:tcW w:type="dxa" w:w="61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0 (Vision) → Day 1 (Mission G1) → Day 2 (Topology Baseline) → Day 3 (Product Truth)</w:t>
            </w:r>
          </w:p>
        </w:tc>
      </w:tr>
      <w:tr>
        <w:trPr>
          <w:cantSplit/>
        </w:trPr>
        <w:tc>
          <w:tcPr>
            <w:tcW w:type="dxa" w:w="316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Current Architectural Milestone</w:t>
            </w:r>
          </w:p>
        </w:tc>
        <w:tc>
          <w:tcPr>
            <w:tcW w:type="dxa" w:w="61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3: Advanced Multi-Actor UI Implementation &amp; Progressive UI Architecture</w:t>
            </w:r>
          </w:p>
        </w:tc>
      </w:tr>
      <w:tr>
        <w:trPr>
          <w:cantSplit/>
        </w:trPr>
        <w:tc>
          <w:tcPr>
            <w:tcW w:type="dxa" w:w="316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Approved Primary Actor</w:t>
            </w:r>
          </w:p>
        </w:tc>
        <w:tc>
          <w:tcPr>
            <w:tcW w:type="dxa" w:w="61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Bank Fraud / Security Analyst (Tier-1 Operations &amp; Real-Time Incident Triage)</w:t>
            </w:r>
          </w:p>
        </w:tc>
      </w:tr>
      <w:tr>
        <w:trPr>
          <w:cantSplit/>
        </w:trPr>
        <w:tc>
          <w:tcPr>
            <w:tcW w:type="dxa" w:w="316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Accountable Oversight Actor</w:t>
            </w:r>
          </w:p>
        </w:tc>
        <w:tc>
          <w:tcPr>
            <w:tcW w:type="dxa" w:w="61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Tier-2 Fraud Supervisor / HITL Reviewer (Exception Escalation &amp; Policy Overrides)</w:t>
            </w:r>
          </w:p>
        </w:tc>
      </w:tr>
      <w:tr>
        <w:trPr>
          <w:cantSplit/>
        </w:trPr>
        <w:tc>
          <w:tcPr>
            <w:tcW w:type="dxa" w:w="316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Governance &amp; Compliance Actors</w:t>
            </w:r>
          </w:p>
        </w:tc>
        <w:tc>
          <w:tcPr>
            <w:tcW w:type="dxa" w:w="61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Bank Security Administrator (Risk Rules) | Internal &amp; Regulatory Compliance Auditor</w:t>
            </w:r>
          </w:p>
        </w:tc>
      </w:tr>
      <w:tr>
        <w:trPr>
          <w:cantSplit/>
        </w:trPr>
        <w:tc>
          <w:tcPr>
            <w:tcW w:type="dxa" w:w="316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 Success Metric Target</w:t>
            </w:r>
          </w:p>
        </w:tc>
        <w:tc>
          <w:tcPr>
            <w:tcW w:type="dxa" w:w="61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Sub-second anomaly classification (&lt;1000ms) &amp; step-up authentication on high-risk events</w:t>
            </w:r>
          </w:p>
        </w:tc>
      </w:tr>
      <w:tr>
        <w:trPr>
          <w:cantSplit/>
        </w:trPr>
        <w:tc>
          <w:tcPr>
            <w:tcW w:type="dxa" w:w="316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Five-Service Topology</w:t>
            </w:r>
          </w:p>
        </w:tc>
        <w:tc>
          <w:tcPr>
            <w:tcW w:type="dxa" w:w="61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Nuxt 3 Web (:3000) | NestJS BFF (:3001) | FastAPI AI (:8000) | MySQL 8.0 (:3307) | Weaviate (:8080)</w:t>
            </w:r>
          </w:p>
        </w:tc>
      </w:tr>
      <w:tr>
        <w:trPr>
          <w:cantSplit/>
        </w:trPr>
        <w:tc>
          <w:tcPr>
            <w:tcW w:type="dxa" w:w="316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3 Control Gate Target</w:t>
            </w:r>
          </w:p>
        </w:tc>
        <w:tc>
          <w:tcPr>
            <w:tcW w:type="dxa" w:w="61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USABILITY GATE: PASS (Subject to 10 Hard Acceptance Gates Verification)</w:t>
            </w:r>
          </w:p>
        </w:tc>
      </w:tr>
      <w:tr>
        <w:trPr>
          <w:cantSplit/>
        </w:trPr>
        <w:tc>
          <w:tcPr>
            <w:tcW w:type="dxa" w:w="316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Document Classification</w:t>
            </w:r>
          </w:p>
        </w:tc>
        <w:tc>
          <w:tcPr>
            <w:tcW w:type="dxa" w:w="61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Authoritative Engineering Design Document &amp; Architectural Decision Record (ADR)</w:t>
            </w:r>
          </w:p>
        </w:tc>
      </w:tr>
    </w:tbl>
    <w:p>
      <w:pPr>
        <w:spacing w:before="40" w:after="120"/>
      </w:pPr>
    </w:p>
    <w:p>
      <w:r>
        <w:br w:type="page"/>
      </w:r>
    </w:p>
    <w:p>
      <w:pPr>
        <w:keepNext/>
        <w:spacing w:before="400" w:after="120"/>
      </w:pPr>
      <w:r>
        <w:rPr>
          <w:rFonts w:ascii="Calibri" w:hAnsi="Calibri"/>
          <w:b/>
          <w:color w:val="0F2434"/>
          <w:sz w:val="32"/>
        </w:rPr>
        <w:t>1. Executive Summary &amp; Programme Context</w:t>
      </w:r>
    </w:p>
    <w:p>
      <w:pPr>
        <w:keepNext/>
        <w:spacing w:before="280" w:after="80"/>
      </w:pPr>
      <w:r>
        <w:rPr>
          <w:rFonts w:ascii="Calibri" w:hAnsi="Calibri"/>
          <w:b/>
          <w:color w:val="345063"/>
          <w:sz w:val="26"/>
        </w:rPr>
        <w:t>1.1 Programme Genesis &amp; The 'Bold Idea to Pitchable MVP Startup' Framework</w:t>
      </w:r>
    </w:p>
    <w:p>
      <w:r>
        <w:t>This comprehensive Architecture and Decision Report establishes the foundational product and interaction architecture for SIMShield, a risk-based financial cybersecurity MVP designed to detect suspicious SIM-card and device replacements within telecommunication channels, empowering retail and commercial banks to prevent Account Takeover (ATO) fraud before unauthorized financial transactions execute. SIMShield is engineered under the intensive 19-day accelerator curriculum 'Master the Skill of Building RAG-Based LLM Apps: From Bold Idea to Pitchable MVP Startup', facilitated by Mr. Eric Taniform.</w:t>
      </w:r>
    </w:p>
    <w:p>
      <w:r>
        <w:t>In traditional software development cycles, user interfaces are frequently treated as superficial presentation layers, constructed post-hoc after database schemas and backend APIs have ossified. In contrast, Day 3 of this programme enforces an architectural paradigm shift: The User Interface is the authoritative, executable product specification. It is the visible truth of the software contract. By designing and realizing responsive, multi-actor user journeys prior to backend implementation, engineering teams expose every implicit assumption, unearth hidden data obligations, validate authorization boundaries, and establish unambiguous contracts that subsequent services must fulfill.</w:t>
      </w:r>
    </w:p>
    <w:p>
      <w:pPr>
        <w:keepNext/>
        <w:spacing w:before="280" w:after="80"/>
      </w:pPr>
      <w:r>
        <w:rPr>
          <w:rFonts w:ascii="Calibri" w:hAnsi="Calibri"/>
          <w:b/>
          <w:color w:val="345063"/>
          <w:sz w:val="26"/>
        </w:rPr>
        <w:t>1.2 The Continuity Chain: Evolution from Day 0 to Day 3</w:t>
      </w:r>
    </w:p>
    <w:p>
      <w:r>
        <w:t>Software integrity across the 19-day startup trajectory relies upon an unbroken chain of custody, where each day's deliverables provide the non-negotiable inputs for the subsequent milestone:</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58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Programme Day</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Core Architectural Question Answered</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Evidence Carried Forward</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Impact on Day 3 Architecture</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0: Vision</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Why RAG + LLM, reverse engineering, and evidence-led product work?</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Shared end-to-end mental model; AcademGPT reference patterns.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Informs the decomposition of complex domain intelligence into visible, traceable UI components.</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 Mission</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Whose workflow improves, with which knowledge, metric, and governance control?</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Approved G1 Mission Charter; named actors; workflow metrics; explicit non-goals.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Establishes authentic domain roles, bounded analyst jobs, and non-negotiable boundaries.</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2: Topology</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Which services cooperate, and can the baseline environment be reproduced locally?</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Five-service containerized and local-fallback topology; health endpoints; port register.</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Provides running Nuxt 3 web shell (:3000) and NestJS BFF (:3001); establishes trust perimeter.</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3: Product Truth</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What must each actor see, decide, and do across all operational states?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Multi-actor UI shell; Pinia stores; typed mock state; UI-CTR contract backlog.</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Creates the authoritative, testable contract backlog for Day 4 persistence and Day 16 integration.</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Future: Days 4-19</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Can visible promises become trustworthy, evaluated, deployable capabilities?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Prisma schemas (D4), governed corpora (D5-7), AI models (D8-11), Weaviate RAG (D12-15).</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Progressive vertical slices replace mock contracts without breaking UI journeys or accessibility.</w:t>
            </w:r>
          </w:p>
        </w:tc>
      </w:tr>
    </w:tbl>
    <w:p>
      <w:pPr>
        <w:spacing w:before="40" w:after="120"/>
      </w:pPr>
    </w:p>
    <w:p>
      <w:pPr>
        <w:keepNext/>
        <w:spacing w:before="280" w:after="80"/>
      </w:pPr>
      <w:r>
        <w:rPr>
          <w:rFonts w:ascii="Calibri" w:hAnsi="Calibri"/>
          <w:b/>
          <w:color w:val="345063"/>
          <w:sz w:val="26"/>
        </w:rPr>
        <w:t>1.3 Day 3 Strategic Objective &amp; Control Gate</w:t>
      </w:r>
    </w:p>
    <w:p>
      <w:r>
        <w:t>The primary objective of Day 3 is to make the SIMShield product vision concrete, demonstrable, and verifiable through fully realized actor journeys. The completion of Day 3 is strictly governed by the Usability Acceptance Gate. To earn a formal PASS, the engineering artifact must demonstrate complete coverage across all validated actors, flawless keyboard and responsive navigability, honest state handling across failure modes, and an exhaustive inventory of interface-derived backend contracts.</w:t>
      </w:r>
    </w:p>
    <w:p>
      <w:pPr>
        <w:keepNext/>
        <w:spacing w:before="280" w:after="80"/>
      </w:pPr>
      <w:r>
        <w:rPr>
          <w:rFonts w:ascii="Calibri" w:hAnsi="Calibri"/>
          <w:b/>
          <w:color w:val="345063"/>
          <w:sz w:val="26"/>
        </w:rPr>
        <w:t>1.4 Five-Service Architectural Topology &amp; Trust Perimeter</w:t>
      </w:r>
    </w:p>
    <w:p>
      <w:r>
        <w:t>SIMShield enforces a strict local-first separation of concerns across five autonomous services, establishing clear technical and security boundaries:</w:t>
      </w:r>
    </w:p>
    <w:p>
      <w:pPr>
        <w:pStyle w:val="ListBullet"/>
        <w:spacing w:after="60" w:line="276" w:lineRule="auto"/>
      </w:pPr>
      <w:r>
        <w:rPr>
          <w:b/>
          <w:color w:val="1E293B"/>
        </w:rPr>
        <w:t>Experience Layer (Nuxt 3 Web Shell - Port 3000):</w:t>
      </w:r>
      <w:r>
        <w:rPr>
          <w:color w:val="1E293B"/>
        </w:rPr>
        <w:t xml:space="preserve"> Serves as the presentation shell (Vue 3, TypeScript, Pinia, Vanilla CSS design tokens). Strictly forbidden from maintaining database credentials or connecting directly to private data tiers.</w:t>
      </w:r>
    </w:p>
    <w:p>
      <w:pPr>
        <w:pStyle w:val="ListBullet"/>
        <w:spacing w:after="60" w:line="276" w:lineRule="auto"/>
      </w:pPr>
      <w:r>
        <w:rPr>
          <w:b/>
          <w:color w:val="1E293B"/>
        </w:rPr>
        <w:t>Orchestration Layer (NestJS BFF Gateway - Port 3001):</w:t>
      </w:r>
      <w:r>
        <w:rPr>
          <w:color w:val="1E293B"/>
        </w:rPr>
        <w:t xml:space="preserve"> Serves as the sole public gateway for the web shell. Encapsulates business logic, orchestrates authentication/RBAC, executes transaction holds via Prisma ORM, and proxies AI inference requests.</w:t>
      </w:r>
    </w:p>
    <w:p>
      <w:pPr>
        <w:pStyle w:val="ListBullet"/>
        <w:spacing w:after="60" w:line="276" w:lineRule="auto"/>
      </w:pPr>
      <w:r>
        <w:rPr>
          <w:b/>
          <w:color w:val="1E293B"/>
        </w:rPr>
        <w:t>Intelligence Layer (FastAPI AI Microservice - Port 8000):</w:t>
      </w:r>
      <w:r>
        <w:rPr>
          <w:color w:val="1E293B"/>
        </w:rPr>
        <w:t xml:space="preserve"> Private service dedicated to computing statistical and ML anomaly scores across telecom telemetry and historical vectors. Operates behind the BFF; never exposed to the public browser.</w:t>
      </w:r>
    </w:p>
    <w:p>
      <w:pPr>
        <w:pStyle w:val="ListBullet"/>
        <w:spacing w:after="60" w:line="276" w:lineRule="auto"/>
      </w:pPr>
      <w:r>
        <w:rPr>
          <w:b/>
          <w:color w:val="1E293B"/>
        </w:rPr>
        <w:t>Relational Persistence Layer (MySQL 8.0 - Port 3307):</w:t>
      </w:r>
      <w:r>
        <w:rPr>
          <w:color w:val="1E293B"/>
        </w:rPr>
        <w:t xml:space="preserve"> Stores persistent customer accounts, SIM-swap events, financial transactions, and immutable audit logs.</w:t>
      </w:r>
    </w:p>
    <w:p>
      <w:pPr>
        <w:pStyle w:val="ListBullet"/>
        <w:spacing w:after="60" w:line="276" w:lineRule="auto"/>
      </w:pPr>
      <w:r>
        <w:rPr>
          <w:b/>
          <w:color w:val="1E293B"/>
        </w:rPr>
        <w:t>Vector Intelligence Layer (Weaviate Vector Database - Port 8080):</w:t>
      </w:r>
      <w:r>
        <w:rPr>
          <w:color w:val="1E293B"/>
        </w:rPr>
        <w:t xml:space="preserve"> Stores dense vector embeddings of historical SIM-swap fraud tactics and telecom carrier attack vectors for future RAG retrieval.</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top w:val="none"/>
              <w:bottom w:val="none"/>
              <w:left w:val="single" w:sz="36" w:space="0" w:color="0E7490"/>
              <w:right w:val="none"/>
            </w:tcBorders>
          </w:tcPr>
          <w:p>
            <w:pPr>
              <w:spacing w:after="40" w:line="276" w:lineRule="auto"/>
            </w:pPr>
            <w:r>
              <w:rPr>
                <w:b/>
                <w:color w:val="0E7490"/>
                <w:sz w:val="20"/>
              </w:rPr>
              <w:t>[NON-NEGOTIABLE OPERATING RULE] Strict Architecture Boundary Rule</w:t>
              <w:br/>
            </w:r>
            <w:r>
              <w:rPr>
                <w:color w:val="1E293B"/>
                <w:sz w:val="19"/>
              </w:rPr>
              <w:t>The Nuxt 3 Web Shell must strictly communicate with the NestJS BFF Gateway (:3001). Under no circumstances may a frontend view, component, or store bypass the BFF to query MySQL, Weaviate, or FastAPI directly. Any direct client-to-database connection represents a critical security defect and an immediate Usability Gate failure.</w:t>
            </w:r>
          </w:p>
        </w:tc>
      </w:tr>
    </w:tbl>
    <w:p>
      <w:pPr>
        <w:spacing w:before="0" w:after="80"/>
      </w:pPr>
    </w:p>
    <w:p>
      <w:r>
        <w:br w:type="page"/>
      </w:r>
    </w:p>
    <w:p>
      <w:pPr>
        <w:keepNext/>
        <w:spacing w:before="400" w:after="120"/>
      </w:pPr>
      <w:r>
        <w:rPr>
          <w:rFonts w:ascii="Calibri" w:hAnsi="Calibri"/>
          <w:b/>
          <w:color w:val="0F2434"/>
          <w:sz w:val="32"/>
        </w:rPr>
        <w:t>2. Theoretical &amp; Architectural Foundations: UI as Product Specification</w:t>
      </w:r>
    </w:p>
    <w:p>
      <w:pPr>
        <w:keepNext/>
        <w:spacing w:before="280" w:after="80"/>
      </w:pPr>
      <w:r>
        <w:rPr>
          <w:rFonts w:ascii="Calibri" w:hAnsi="Calibri"/>
          <w:b/>
          <w:color w:val="345063"/>
          <w:sz w:val="26"/>
        </w:rPr>
        <w:t>2.1 The Interface-First Architectural Philosophy</w:t>
      </w:r>
    </w:p>
    <w:p>
      <w:r>
        <w:t>Traditional software specifications written in static requirement documents frequently mask fatal architectural ambiguities. Requirements stating 'the system shall detect fraud' fail to define the temporal, spatial, and cognitive requirements of the human operator who must act upon that detection. By contrast, an interface-first architecture treats the screen as an executable contract.</w:t>
      </w:r>
    </w:p>
    <w:p>
      <w:r>
        <w:t>When a frontend engineer renders an alert card displaying 'High-Risk SIM Swap Detected (Score: 94/100)', that visual artifact forces the immediate resolution of deep system questions: What service computed that score? What specific telecom fields contributed to the calculation? What happens if the telecom API is delayed? Can a Tier-1 analyst freeze the account immediately, or does policy mandate Tier-2 supervisor sign-off? What audit log is generated when an override is submitted? By forcing these questions to the surface during Day 3, the architecture prevents multimillion-dollar redesigns during later integration phases.</w:t>
      </w:r>
    </w:p>
    <w:p>
      <w:pPr>
        <w:keepNext/>
        <w:spacing w:before="280" w:after="80"/>
      </w:pPr>
      <w:r>
        <w:rPr>
          <w:rFonts w:ascii="Calibri" w:hAnsi="Calibri"/>
          <w:b/>
          <w:color w:val="345063"/>
          <w:sz w:val="26"/>
        </w:rPr>
        <w:t>2.2 Uncovering Hidden System Obligations Behind Visible UI Components</w:t>
      </w:r>
    </w:p>
    <w:p>
      <w:r>
        <w:t>Every visual component rendered in the SIMShield interface implies a web of hidden backend, security, and data obligations: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Visible UI Element</w:t>
            </w:r>
          </w:p>
        </w:tc>
        <w:tc>
          <w:tcPr>
            <w:tcW w:type="dxa" w:w="244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User Perception</w:t>
            </w:r>
          </w:p>
        </w:tc>
        <w:tc>
          <w:tcPr>
            <w:tcW w:type="dxa" w:w="432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Underlying Architectural &amp; System Obligations</w:t>
            </w:r>
          </w:p>
        </w:tc>
      </w:tr>
      <w:tr>
        <w:trPr>
          <w:cantSplit/>
        </w:trPr>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Alert Triage Queue Badge ('3 Critical')</w:t>
            </w:r>
          </w:p>
        </w:tc>
        <w:tc>
          <w:tcPr>
            <w:tcW w:type="dxa" w:w="244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Visual count of pending incidents.</w:t>
            </w:r>
          </w:p>
        </w:tc>
        <w:tc>
          <w:tcPr>
            <w:tcW w:type="dxa" w:w="432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Real-time WebSocket event subscription; unread state indexing in MySQL; tenant/role-scoped count queries; SLA escalation timers.</w:t>
            </w:r>
          </w:p>
        </w:tc>
      </w:tr>
      <w:tr>
        <w:trPr>
          <w:cantSplit/>
        </w:trPr>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Risk Score Meter ('94/100 - Critical')</w:t>
            </w:r>
          </w:p>
        </w:tc>
        <w:tc>
          <w:tcPr>
            <w:tcW w:type="dxa" w:w="244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colored progress bar or gauge.</w:t>
            </w:r>
          </w:p>
        </w:tc>
        <w:tc>
          <w:tcPr>
            <w:tcW w:type="dxa" w:w="432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FastAPI ML model inference; feature extraction from carrier IMSI/ICCID telemetry; calibration threshold rules; model version audit metadata.</w:t>
            </w:r>
          </w:p>
        </w:tc>
      </w:tr>
      <w:tr>
        <w:trPr>
          <w:cantSplit/>
        </w:trPr>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Side-by-Side Carrier Telemetry Diff</w:t>
            </w:r>
          </w:p>
        </w:tc>
        <w:tc>
          <w:tcPr>
            <w:tcW w:type="dxa" w:w="244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Two columns comparing old vs new SIM metadata.</w:t>
            </w:r>
          </w:p>
        </w:tc>
        <w:tc>
          <w:tcPr>
            <w:tcW w:type="dxa" w:w="432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Carrier webhook ingestion contract; timestamp normalization across telco towers; PII masking of MSISDN/IMSI; cryptographic provenance verification.</w:t>
            </w:r>
          </w:p>
        </w:tc>
      </w:tr>
      <w:tr>
        <w:trPr>
          <w:cantSplit/>
        </w:trPr>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'Enforce Transaction Freeze' Button</w:t>
            </w:r>
          </w:p>
        </w:tc>
        <w:tc>
          <w:tcPr>
            <w:tcW w:type="dxa" w:w="244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simple interactive button.</w:t>
            </w:r>
          </w:p>
        </w:tc>
        <w:tc>
          <w:tcPr>
            <w:tcW w:type="dxa" w:w="432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Idempotent POST mutation to NestJS BFF; atomic transaction state transition in MySQL; banking core API dispatch; distributed lock preventing race conditions.</w:t>
            </w:r>
          </w:p>
        </w:tc>
      </w:tr>
      <w:tr>
        <w:trPr>
          <w:cantSplit/>
        </w:trPr>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'Escalate to Tier-2' Button</w:t>
            </w:r>
          </w:p>
        </w:tc>
        <w:tc>
          <w:tcPr>
            <w:tcW w:type="dxa" w:w="244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standard secondary action.</w:t>
            </w:r>
          </w:p>
        </w:tc>
        <w:tc>
          <w:tcPr>
            <w:tcW w:type="dxa" w:w="432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HITL state machine transition; supervisor queue assignment; push notification; SLA timer freeze; mandatory rationale capture dialog.</w:t>
            </w:r>
          </w:p>
        </w:tc>
      </w:tr>
      <w:tr>
        <w:trPr>
          <w:cantSplit/>
        </w:trPr>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Supervisor Dual-Control Override Modal</w:t>
            </w:r>
          </w:p>
        </w:tc>
        <w:tc>
          <w:tcPr>
            <w:tcW w:type="dxa" w:w="244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form with reason and password inputs.</w:t>
            </w:r>
          </w:p>
        </w:tc>
        <w:tc>
          <w:tcPr>
            <w:tcW w:type="dxa" w:w="432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Step-up authentication; cryptographic signing of override rationale; immutable append to compliance audit trail; non-repudiation enforcement.</w:t>
            </w:r>
          </w:p>
        </w:tc>
      </w:tr>
      <w:tr>
        <w:trPr>
          <w:cantSplit/>
        </w:trPr>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Historical Pattern Search Input</w:t>
            </w:r>
          </w:p>
        </w:tc>
        <w:tc>
          <w:tcPr>
            <w:tcW w:type="dxa" w:w="244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standard search bar.</w:t>
            </w:r>
          </w:p>
        </w:tc>
        <w:tc>
          <w:tcPr>
            <w:tcW w:type="dxa" w:w="432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Hybrid dense/sparse vector search query to Weaviate (:8080); cosine distance filtering; RBAC filtering ensuring analyst sees only authorized bank accounts.</w:t>
            </w:r>
          </w:p>
        </w:tc>
      </w:tr>
    </w:tbl>
    <w:p>
      <w:pPr>
        <w:spacing w:before="40" w:after="120"/>
      </w:pPr>
    </w:p>
    <w:p>
      <w:pPr>
        <w:keepNext/>
        <w:spacing w:before="280" w:after="80"/>
      </w:pPr>
      <w:r>
        <w:rPr>
          <w:rFonts w:ascii="Calibri" w:hAnsi="Calibri"/>
          <w:b/>
          <w:color w:val="345063"/>
          <w:sz w:val="26"/>
        </w:rPr>
        <w:t>2.3 Non-Negotiable Operating Rules</w:t>
      </w:r>
    </w:p>
    <w:p>
      <w:r>
        <w:t>To maintain technical rigor and prevent regression, the Day 3 implementation is governed by six non-negotiable operating rules:</w:t>
      </w:r>
    </w:p>
    <w:p>
      <w:pPr>
        <w:pStyle w:val="ListBullet"/>
        <w:spacing w:after="60" w:line="276" w:lineRule="auto"/>
      </w:pPr>
      <w:r>
        <w:rPr>
          <w:b/>
          <w:color w:val="1E293B"/>
        </w:rPr>
        <w:t>Rule 1 — Continuity Over Reinvention:</w:t>
      </w:r>
      <w:r>
        <w:rPr>
          <w:color w:val="1E293B"/>
        </w:rPr>
        <w:t xml:space="preserve"> Every route, role, state, and visual promise must trace directly to the approved Day 1 SIMShield Mission Charter and Day 2 architectural boundaries.</w:t>
      </w:r>
    </w:p>
    <w:p>
      <w:pPr>
        <w:pStyle w:val="ListBullet"/>
        <w:spacing w:after="60" w:line="276" w:lineRule="auto"/>
      </w:pPr>
      <w:r>
        <w:rPr>
          <w:b/>
          <w:color w:val="1E293B"/>
        </w:rPr>
        <w:t>Rule 2 — Domain Fidelity:</w:t>
      </w:r>
      <w:r>
        <w:rPr>
          <w:color w:val="1E293B"/>
        </w:rPr>
        <w:t xml:space="preserve"> Use authentic banking cybersecurity terminology (e.g., 'Fraud Analyst Queue', 'Forensic Telemetry Diff', 'Supervisory Override') rather than generic academic or administrative labels.</w:t>
      </w:r>
    </w:p>
    <w:p>
      <w:pPr>
        <w:pStyle w:val="ListBullet"/>
        <w:spacing w:after="60" w:line="276" w:lineRule="auto"/>
      </w:pPr>
      <w:r>
        <w:rPr>
          <w:b/>
          <w:color w:val="1E293B"/>
        </w:rPr>
        <w:t>Rule 3 — Code-Free Specification Discipline:</w:t>
      </w:r>
      <w:r>
        <w:rPr>
          <w:color w:val="1E293B"/>
        </w:rPr>
        <w:t xml:space="preserve"> Architectural prompts and technical specifications must define boundaries, behaviors, and contracts without prescribing pre-baked application source code.</w:t>
      </w:r>
    </w:p>
    <w:p>
      <w:pPr>
        <w:pStyle w:val="ListBullet"/>
        <w:spacing w:after="60" w:line="276" w:lineRule="auto"/>
      </w:pPr>
      <w:r>
        <w:rPr>
          <w:b/>
          <w:color w:val="1E293B"/>
        </w:rPr>
        <w:t>Rule 4 — Strict Architectural Boundary:</w:t>
      </w:r>
      <w:r>
        <w:rPr>
          <w:color w:val="1E293B"/>
        </w:rPr>
        <w:t xml:space="preserve"> Nuxt 3 communicates exclusively with NestJS (:3001). Direct browser connections to MySQL, FastAPI, or Weaviate are strictly prohibited.</w:t>
      </w:r>
    </w:p>
    <w:p>
      <w:pPr>
        <w:pStyle w:val="ListBullet"/>
        <w:spacing w:after="60" w:line="276" w:lineRule="auto"/>
      </w:pPr>
      <w:r>
        <w:rPr>
          <w:b/>
          <w:color w:val="1E293B"/>
        </w:rPr>
        <w:t>Rule 5 — Truthful Simulation &amp; Deception Prevention:</w:t>
      </w:r>
      <w:r>
        <w:rPr>
          <w:color w:val="1E293B"/>
        </w:rPr>
        <w:t xml:space="preserve"> Client-side simulations must utilize deterministic, typed, privacy-safe mock contracts. The UI must never pretend that unbuilt AI or data capabilities are operational.</w:t>
      </w:r>
    </w:p>
    <w:p>
      <w:pPr>
        <w:pStyle w:val="ListBullet"/>
        <w:spacing w:after="60" w:line="276" w:lineRule="auto"/>
      </w:pPr>
      <w:r>
        <w:rPr>
          <w:b/>
          <w:color w:val="1E293B"/>
        </w:rPr>
        <w:t>Rule 6 — Evidence Integrity &amp; Auditability:</w:t>
      </w:r>
      <w:r>
        <w:rPr>
          <w:color w:val="1E293B"/>
        </w:rPr>
        <w:t xml:space="preserve"> Working code, reproducible terminal tests, and verified task completions outrank polished screenshots. Every claim must link to verifiable repository evidence.</w:t>
      </w:r>
    </w:p>
    <w:p>
      <w:pPr>
        <w:keepNext/>
        <w:spacing w:before="280" w:after="80"/>
      </w:pPr>
      <w:r>
        <w:rPr>
          <w:rFonts w:ascii="Calibri" w:hAnsi="Calibri"/>
          <w:b/>
          <w:color w:val="345063"/>
          <w:sz w:val="26"/>
        </w:rPr>
        <w:t>2.4 Required Architectural Stop Conditions</w:t>
      </w:r>
    </w:p>
    <w:p>
      <w:r>
        <w:t>Engineering activities must halt immediately upon encountering any of the following critical stop conditions: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Stop Condition Trigger</w:t>
            </w:r>
          </w:p>
        </w:tc>
        <w:tc>
          <w:tcPr>
            <w:tcW w:type="dxa" w:w="288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Architectural Hazard</w:t>
            </w:r>
          </w:p>
        </w:tc>
        <w:tc>
          <w:tcPr>
            <w:tcW w:type="dxa" w:w="388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Mandatory Remediation Action</w:t>
            </w:r>
          </w:p>
        </w:tc>
      </w:tr>
      <w:tr>
        <w:trPr>
          <w:cantSplit/>
        </w:trPr>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Ambiguous Workspace Resolution</w:t>
            </w:r>
          </w:p>
        </w:tc>
        <w:tc>
          <w:tcPr>
            <w:tcW w:type="dxa" w:w="28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Accidental modification of parent OS or external projects.</w:t>
            </w:r>
          </w:p>
        </w:tc>
        <w:tc>
          <w:tcPr>
            <w:tcW w:type="dxa" w:w="388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Halt execution. Validate that CWD resolves strictly within C:\G1 19 Day Project.</w:t>
            </w:r>
          </w:p>
        </w:tc>
      </w:tr>
      <w:tr>
        <w:trPr>
          <w:cantSplit/>
        </w:trPr>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Destructive Overwrite of Prior Evidence</w:t>
            </w:r>
          </w:p>
        </w:tc>
        <w:tc>
          <w:tcPr>
            <w:tcW w:type="dxa" w:w="28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Loss of Day 1 mission or Day 2 technical preflight baselines.</w:t>
            </w:r>
          </w:p>
        </w:tc>
        <w:tc>
          <w:tcPr>
            <w:tcW w:type="dxa" w:w="388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Halt. Enforce non-destructive append or versioned evidence creation in evidence/day-03.</w:t>
            </w:r>
          </w:p>
        </w:tc>
      </w:tr>
      <w:tr>
        <w:trPr>
          <w:cantSplit/>
        </w:trPr>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Omission of Accountable Oversight Role</w:t>
            </w:r>
          </w:p>
        </w:tc>
        <w:tc>
          <w:tcPr>
            <w:tcW w:type="dxa" w:w="28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Uncontrolled automated AI actions without human governance.</w:t>
            </w:r>
          </w:p>
        </w:tc>
        <w:tc>
          <w:tcPr>
            <w:tcW w:type="dxa" w:w="388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Halt. Define and implement the Tier-2 Fraud Supervisor HITL workflow prior to UI release.</w:t>
            </w:r>
          </w:p>
        </w:tc>
      </w:tr>
      <w:tr>
        <w:trPr>
          <w:cantSplit/>
        </w:trPr>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Unresolved PII or Secret Hygiene Failure</w:t>
            </w:r>
          </w:p>
        </w:tc>
        <w:tc>
          <w:tcPr>
            <w:tcW w:type="dxa" w:w="28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Exposure of banking account numbers, API keys, or JWT tokens.</w:t>
            </w:r>
          </w:p>
        </w:tc>
        <w:tc>
          <w:tcPr>
            <w:tcW w:type="dxa" w:w="388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Halt immediately. Sanitize repository, scrub mock data, and re-run secret scanner.</w:t>
            </w:r>
          </w:p>
        </w:tc>
      </w:tr>
      <w:tr>
        <w:trPr>
          <w:cantSplit/>
        </w:trPr>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Bypassing the NestJS BFF Gateway</w:t>
            </w:r>
          </w:p>
        </w:tc>
        <w:tc>
          <w:tcPr>
            <w:tcW w:type="dxa" w:w="28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Compromising the security trust perimeter via direct DB/AI calls.</w:t>
            </w:r>
          </w:p>
        </w:tc>
        <w:tc>
          <w:tcPr>
            <w:tcW w:type="dxa" w:w="388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Halt. Refactor all data access through typed BFF gateway proxies.</w:t>
            </w:r>
          </w:p>
        </w:tc>
      </w:tr>
      <w:tr>
        <w:trPr>
          <w:cantSplit/>
        </w:trPr>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Concealing Test Failures with Visual Polish</w:t>
            </w:r>
          </w:p>
        </w:tc>
        <w:tc>
          <w:tcPr>
            <w:tcW w:type="dxa" w:w="28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Masking broken responsive layouts or accessibility failures.</w:t>
            </w:r>
          </w:p>
        </w:tc>
        <w:tc>
          <w:tcPr>
            <w:tcW w:type="dxa" w:w="388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Halt. Record failures truthfully as CONDITIONAL PASS or REWORK with explicit remediation owners.</w:t>
            </w:r>
          </w:p>
        </w:tc>
      </w:tr>
    </w:tbl>
    <w:p>
      <w:pPr>
        <w:spacing w:before="40" w:after="120"/>
      </w:pPr>
    </w:p>
    <w:p>
      <w:r>
        <w:br w:type="page"/>
      </w:r>
    </w:p>
    <w:p>
      <w:pPr>
        <w:keepNext/>
        <w:spacing w:before="400" w:after="120"/>
      </w:pPr>
      <w:r>
        <w:rPr>
          <w:rFonts w:ascii="Calibri" w:hAnsi="Calibri"/>
          <w:b/>
          <w:color w:val="0F2434"/>
          <w:sz w:val="32"/>
        </w:rPr>
        <w:t>3. Readiness Triage &amp; Recovery Lane Assessment</w:t>
      </w:r>
    </w:p>
    <w:p>
      <w:pPr>
        <w:keepNext/>
        <w:spacing w:before="280" w:after="80"/>
      </w:pPr>
      <w:r>
        <w:rPr>
          <w:rFonts w:ascii="Calibri" w:hAnsi="Calibri"/>
          <w:b/>
          <w:color w:val="345063"/>
          <w:sz w:val="26"/>
        </w:rPr>
        <w:t>3.1 Readiness Assessment Methodology</w:t>
      </w:r>
    </w:p>
    <w:p>
      <w:r>
        <w:t>To ensure that teams do not build elaborate user interfaces on top of broken or unvalidated foundations, Day 3 mandates a formal readiness triage. Teams enter one of three mutually exclusive operating lanes: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Readiness Lane</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Entry Conditions</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Authorized Day 3 Target Scope</w:t>
            </w:r>
          </w:p>
        </w:tc>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Gate Effect &amp; Maximum Outcome</w:t>
            </w:r>
          </w:p>
        </w:tc>
      </w:tr>
      <w:tr>
        <w:trPr>
          <w:cantSplit/>
        </w:trPr>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GREEN — BUILD</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 G1 Mission is PASS/CONDITIONAL PASS; primary actor and problem are tightly bounded; Day 2 five-service baseline is verified healthy.</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Implement primary and oversight journeys as a fully functional, clickable Nuxt 3 shell with complete states and contracts.</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Eligible for formal PASS upon completing all Day 3 evidence and verification tests.</w:t>
            </w:r>
          </w:p>
        </w:tc>
      </w:tr>
      <w:tr>
        <w:trPr>
          <w:cantSplit/>
        </w:trPr>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AMBER — BUILD WITH RECOVERY</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Core problem is bounded, but specific Day 1 mission details or Day 2 environment prerequisites remain provisional.</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Construct UI using typed, deterministic mocks while actively closing assigned recovery tasks.</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Eligible at most for CONDITIONAL PASS. Unresolved dependencies cannot be frozen as API contracts.</w:t>
            </w:r>
          </w:p>
        </w:tc>
      </w:tr>
      <w:tr>
        <w:trPr>
          <w:cantSplit/>
        </w:trPr>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RED — RECOVERY STUDIO</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Problem is vague, primary actor is missing, security risks are uncontrolled, or no runnable frontend baseline exists.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Halt broad UI construction. Repair mission charter and topology; build low-fidelity wireframes only.</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Mandatory REWORK. Must resubmit Day 1 and Day 2 evidence prior to entering UI implementation.</w:t>
            </w:r>
          </w:p>
        </w:tc>
      </w:tr>
    </w:tbl>
    <w:p>
      <w:pPr>
        <w:spacing w:before="40" w:after="120"/>
      </w:pPr>
    </w:p>
    <w:p>
      <w:pPr>
        <w:keepNext/>
        <w:spacing w:before="280" w:after="80"/>
      </w:pPr>
      <w:r>
        <w:rPr>
          <w:rFonts w:ascii="Calibri" w:hAnsi="Calibri"/>
          <w:b/>
          <w:color w:val="345063"/>
          <w:sz w:val="26"/>
        </w:rPr>
        <w:t>3.2 SIMShield Day 2 Baseline Audit &amp; Machine Profile Validation</w:t>
      </w:r>
    </w:p>
    <w:p>
      <w:r>
        <w:t>An exhaustive audit of the SIMShield repository (`c:\G1 19 Day Project`) reveals the following verified baseline state:</w:t>
      </w:r>
    </w:p>
    <w:p>
      <w:pPr>
        <w:pStyle w:val="ListBullet"/>
        <w:spacing w:after="60" w:line="276" w:lineRule="auto"/>
      </w:pPr>
      <w:r>
        <w:rPr>
          <w:b/>
          <w:color w:val="1E293B"/>
        </w:rPr>
        <w:t>Detected Hardware Profile:</w:t>
      </w:r>
      <w:r>
        <w:rPr>
          <w:color w:val="1E293B"/>
        </w:rPr>
        <w:t xml:space="preserve"> Intel Core i5 (2 cores, 4 threads), 8.00 GB Physical RAM, Windows 10 Pro 64-bit. Constrained memory prohibits heavy virtualization overhead.</w:t>
      </w:r>
    </w:p>
    <w:p>
      <w:pPr>
        <w:pStyle w:val="ListBullet"/>
        <w:spacing w:after="60" w:line="276" w:lineRule="auto"/>
      </w:pPr>
      <w:r>
        <w:rPr>
          <w:b/>
          <w:color w:val="1E293B"/>
        </w:rPr>
        <w:t>Validated Operational Profile:</w:t>
      </w:r>
      <w:r>
        <w:rPr>
          <w:color w:val="1E293B"/>
        </w:rPr>
        <w:t xml:space="preserve"> Resource-Constrained Local Profile. Services operate as lightweight native Node.js and Python processes, supported by validated Docker Compose definitions (`infrastructure/docker-compose.yml`).</w:t>
      </w:r>
    </w:p>
    <w:p>
      <w:pPr>
        <w:pStyle w:val="ListBullet"/>
        <w:spacing w:after="60" w:line="276" w:lineRule="auto"/>
      </w:pPr>
      <w:r>
        <w:rPr>
          <w:b/>
          <w:color w:val="1E293B"/>
        </w:rPr>
        <w:t>Service Health Verification:</w:t>
      </w:r>
      <w:r>
        <w:rPr>
          <w:color w:val="1E293B"/>
        </w:rPr>
        <w:t xml:space="preserve"> Nuxt 3 Web Shell (`http://127.0.0.1:3000/health`) verified HEALTHY (HTTP 200, 1396ms latency). NestJS BFF (`http://127.0.0.1:3001/health`) verified HEALTHY (HTTP 200).</w:t>
      </w:r>
    </w:p>
    <w:p>
      <w:pPr>
        <w:pStyle w:val="ListBullet"/>
        <w:spacing w:after="60" w:line="276" w:lineRule="auto"/>
      </w:pPr>
      <w:r>
        <w:rPr>
          <w:b/>
          <w:color w:val="1E293B"/>
        </w:rPr>
        <w:t>Backend Infrastructure:</w:t>
      </w:r>
      <w:r>
        <w:rPr>
          <w:color w:val="1E293B"/>
        </w:rPr>
        <w:t xml:space="preserve"> MySQL 8.0 (3307), Weaviate (8080), and FastAPI AI (8000) verified healthy and listening on designated local host ports.</w:t>
      </w:r>
    </w:p>
    <w:p>
      <w:pPr>
        <w:pStyle w:val="ListBullet"/>
        <w:spacing w:after="60" w:line="276" w:lineRule="auto"/>
      </w:pPr>
      <w:r>
        <w:rPr>
          <w:b/>
          <w:color w:val="1E293B"/>
        </w:rPr>
        <w:t>Preflight Documentation:</w:t>
      </w:r>
      <w:r>
        <w:rPr>
          <w:color w:val="1E293B"/>
        </w:rPr>
        <w:t xml:space="preserve"> Day 2 Evidence Pack (`evidence/day-02/01` through `10`) fully assembled and committed without defect.</w:t>
      </w:r>
    </w:p>
    <w:p>
      <w:pPr>
        <w:keepNext/>
        <w:spacing w:before="280" w:after="80"/>
      </w:pPr>
      <w:r>
        <w:rPr>
          <w:rFonts w:ascii="Calibri" w:hAnsi="Calibri"/>
          <w:b/>
          <w:color w:val="345063"/>
          <w:sz w:val="26"/>
        </w:rPr>
        <w:t>3.3 Authoritative Lane Selection: GREEN LANE</w:t>
      </w:r>
    </w:p>
    <w:p>
      <w:r>
        <w:t>Based on the audit, SIMShield satisfies 100% of the stringent entry requirements for the **GREEN — BUILD LANE**:</w:t>
      </w:r>
    </w:p>
    <w:p>
      <w:pPr>
        <w:pStyle w:val="ListBullet"/>
        <w:spacing w:after="60" w:line="276" w:lineRule="auto"/>
      </w:pPr>
      <w:r>
        <w:rPr>
          <w:b/>
          <w:color w:val="1E293B"/>
        </w:rPr>
        <w:t>Mission Stability:</w:t>
      </w:r>
      <w:r>
        <w:rPr>
          <w:color w:val="1E293B"/>
        </w:rPr>
        <w:t xml:space="preserve"> The SIMShield Day 1 Mission is bounded, authenticated, and approved. Primary and oversight actors are explicitly defined.</w:t>
      </w:r>
    </w:p>
    <w:p>
      <w:pPr>
        <w:pStyle w:val="ListBullet"/>
        <w:spacing w:after="60" w:line="276" w:lineRule="auto"/>
      </w:pPr>
      <w:r>
        <w:rPr>
          <w:b/>
          <w:color w:val="1E293B"/>
        </w:rPr>
        <w:t>Technical Stability:</w:t>
      </w:r>
      <w:r>
        <w:rPr>
          <w:color w:val="1E293B"/>
        </w:rPr>
        <w:t xml:space="preserve"> The five-service topology is operational, ports are collision-free, and health checks return HTTP 200 OK.</w:t>
      </w:r>
    </w:p>
    <w:p>
      <w:pPr>
        <w:pStyle w:val="ListBullet"/>
        <w:spacing w:after="60" w:line="276" w:lineRule="auto"/>
      </w:pPr>
      <w:r>
        <w:rPr>
          <w:b/>
          <w:color w:val="1E293B"/>
        </w:rPr>
        <w:t>Authorized Scope:</w:t>
      </w:r>
      <w:r>
        <w:rPr>
          <w:color w:val="1E293B"/>
        </w:rPr>
        <w:t xml:space="preserve"> SIMShield is fully authorized to construct the complete multi-actor Nuxt 3 application, covering Tier-1 Fraud Analyst and Tier-2 Fraud Supervisor journeys, supported by modular Pinia stores and typed contracts.</w:t>
      </w:r>
    </w:p>
    <w:p>
      <w:pPr>
        <w:keepNext/>
        <w:spacing w:before="280" w:after="80"/>
      </w:pPr>
      <w:r>
        <w:rPr>
          <w:rFonts w:ascii="Calibri" w:hAnsi="Calibri"/>
          <w:b/>
          <w:color w:val="345063"/>
          <w:sz w:val="26"/>
        </w:rPr>
        <w:t>3.4 The Provisional Dependency Management Protocol</w:t>
      </w:r>
    </w:p>
    <w:p>
      <w:r>
        <w:t>Under the programme governance rules, any technical decision that relies upon unbuilt future capabilities must be tagged with the `[PROVISIONAL]` governance label:</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160" w:type="dxa"/>
            </w:tcMar>
            <w:tcBorders>
              <w:top w:val="none"/>
              <w:bottom w:val="none"/>
              <w:left w:val="single" w:sz="36" w:space="0" w:color="B45309"/>
              <w:right w:val="none"/>
            </w:tcBorders>
          </w:tcPr>
          <w:p>
            <w:pPr>
              <w:spacing w:after="40" w:line="276" w:lineRule="auto"/>
            </w:pPr>
            <w:r>
              <w:rPr>
                <w:b/>
                <w:color w:val="B45309"/>
                <w:sz w:val="20"/>
              </w:rPr>
              <w:t>[WARNING / PROVISIONAL DEPENDENCY] Provisional Governance Rule</w:t>
              <w:br/>
            </w:r>
            <w:r>
              <w:rPr>
                <w:color w:val="1E293B"/>
                <w:sz w:val="19"/>
              </w:rPr>
              <w:t>Every provisional assumption must be documented with an assigned Owner, Remediation Action, and Target Resolution Date. Provisional items must never be frozen into API contracts or database migration scripts until the underlying capability is formally verified.</w:t>
            </w:r>
          </w:p>
        </w:tc>
      </w:tr>
    </w:tbl>
    <w:p>
      <w:pPr>
        <w:spacing w:before="0" w:after="80"/>
      </w:pPr>
    </w:p>
    <w:p>
      <w:r>
        <w:br w:type="page"/>
      </w:r>
    </w:p>
    <w:p>
      <w:pPr>
        <w:keepNext/>
        <w:spacing w:before="400" w:after="120"/>
      </w:pPr>
      <w:r>
        <w:rPr>
          <w:rFonts w:ascii="Calibri" w:hAnsi="Calibri"/>
          <w:b/>
          <w:color w:val="0F2434"/>
          <w:sz w:val="32"/>
        </w:rPr>
        <w:t>4. Interface Archetype Selection &amp; Strategic Rationale</w:t>
      </w:r>
    </w:p>
    <w:p>
      <w:pPr>
        <w:keepNext/>
        <w:spacing w:before="280" w:after="80"/>
      </w:pPr>
      <w:r>
        <w:rPr>
          <w:rFonts w:ascii="Calibri" w:hAnsi="Calibri"/>
          <w:b/>
          <w:color w:val="345063"/>
          <w:sz w:val="26"/>
        </w:rPr>
        <w:t>4.1 Comparative Architectural Evaluation of the Three Core Archetypes</w:t>
      </w:r>
    </w:p>
    <w:p>
      <w:r>
        <w:t>Day 3 architecture rejects the naive industry trend of forcing all AI-enabled systems into conversational chat interfaces. Three canonical interface archetypes are evaluated for SIMShield:</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Interface Archetype</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Canonical Interaction Flow</w:t>
            </w:r>
          </w:p>
        </w:tc>
        <w:tc>
          <w:tcPr>
            <w:tcW w:type="dxa" w:w="230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Optimal Domain Fit</w:t>
            </w:r>
          </w:p>
        </w:tc>
        <w:tc>
          <w:tcPr>
            <w:tcW w:type="dxa" w:w="244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Suitability for Banking Cybersecurity</w:t>
            </w:r>
          </w:p>
        </w:tc>
      </w:tr>
      <w:tr>
        <w:trPr>
          <w:cantSplit/>
        </w:trPr>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Knowledge &amp; Advisory</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User submits prompt → System retrieves corpus → Generates cited response → User accepts or escalates.</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Policy navigation, legal compliance research, educational walkthroughs.</w:t>
            </w:r>
          </w:p>
        </w:tc>
        <w:tc>
          <w:tcPr>
            <w:tcW w:type="dxa" w:w="244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POOR: Analysts cannot waste critical seconds formulating open-ended prompts during active ATO attacks.</w:t>
            </w:r>
          </w:p>
        </w:tc>
      </w:tr>
      <w:tr>
        <w:trPr>
          <w:cantSplit/>
        </w:trPr>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Case &amp; Workflow Support</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Incident triggers alert → Analyst inspects structured evidence → AI suggests risk score → Human makes binding decision → Audit record generated.</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High-stakes operations, clinical decisions, fraud triage, underwriting.</w:t>
            </w:r>
          </w:p>
        </w:tc>
        <w:tc>
          <w:tcPr>
            <w:tcW w:type="dxa" w:w="244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EXCELLENT: Directly aligns with the high-velocity, high-accountability nature of banking security operations.</w:t>
            </w:r>
          </w:p>
        </w:tc>
      </w:tr>
      <w:tr>
        <w:trPr>
          <w:cantSplit/>
        </w:trPr>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Extraction &amp; Triage</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User uploads batch artifact → Parser extracts entities → Classifier tags risk → Human approves routing.</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Mortgage document processing, KYC onboarding screening, contract intake.</w:t>
            </w:r>
          </w:p>
        </w:tc>
        <w:tc>
          <w:tcPr>
            <w:tcW w:type="dxa" w:w="244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PARTIAL: Valuable for carrier webhook processing, but secondary to real-time incident decisioning.</w:t>
            </w:r>
          </w:p>
        </w:tc>
      </w:tr>
    </w:tbl>
    <w:p>
      <w:pPr>
        <w:spacing w:before="40" w:after="120"/>
      </w:pPr>
    </w:p>
    <w:p>
      <w:pPr>
        <w:keepNext/>
        <w:spacing w:before="280" w:after="80"/>
      </w:pPr>
      <w:r>
        <w:rPr>
          <w:rFonts w:ascii="Calibri" w:hAnsi="Calibri"/>
          <w:b/>
          <w:color w:val="345063"/>
          <w:sz w:val="26"/>
        </w:rPr>
        <w:t>4.2 Strategic Archetype Selection: Hybrid Case &amp; Workflow Triage</w:t>
      </w:r>
    </w:p>
    <w:p>
      <w:r>
        <w:t>SIMShield formally selects the **Case &amp; Workflow Support Archetype**, augmented with **Real-Time Anomaly Triage** capabilities. This hybrid interaction pattern delivers an operational dashboard where incoming telecom SIM-swap events are queued by threat severity, allowing fraud analysts to perform sub-second triage, drill into granular forensic telemetry, evaluate AI-generated risk rationale, and execute legally binding transaction holds.</w:t>
      </w:r>
    </w:p>
    <w:p>
      <w:pPr>
        <w:keepNext/>
        <w:spacing w:before="280" w:after="80"/>
      </w:pPr>
      <w:r>
        <w:rPr>
          <w:rFonts w:ascii="Calibri" w:hAnsi="Calibri"/>
          <w:b/>
          <w:color w:val="345063"/>
          <w:sz w:val="26"/>
        </w:rPr>
        <w:t>4.3 Why Conversational Chatbots Were Explicitly Rejected</w:t>
      </w:r>
    </w:p>
    <w:p>
      <w:r>
        <w:t>The engineering team evaluated and firmly rejected a conversational chatbot interface for SIMShield based on critical architectural principles:</w:t>
      </w:r>
    </w:p>
    <w:p>
      <w:pPr>
        <w:pStyle w:val="ListBullet"/>
        <w:spacing w:after="60" w:line="276" w:lineRule="auto"/>
      </w:pPr>
      <w:r>
        <w:rPr>
          <w:b/>
          <w:color w:val="1E293B"/>
        </w:rPr>
        <w:t>1. Cognitive Overload &amp; Velocity Loss:</w:t>
      </w:r>
      <w:r>
        <w:rPr>
          <w:color w:val="1E293B"/>
        </w:rPr>
        <w:t xml:space="preserve"> In an Account Takeover attack, fraudulent wire transfers execute within 60 to 180 seconds. Typing conversational prompts ('Can you check if account 9821 had a SIM swap?') introduces fatal latency compared to dedicated triage queues.</w:t>
      </w:r>
    </w:p>
    <w:p>
      <w:pPr>
        <w:pStyle w:val="ListBullet"/>
        <w:spacing w:after="60" w:line="276" w:lineRule="auto"/>
      </w:pPr>
      <w:r>
        <w:rPr>
          <w:b/>
          <w:color w:val="1E293B"/>
        </w:rPr>
        <w:t>2. Non-Deterministic Risk:</w:t>
      </w:r>
      <w:r>
        <w:rPr>
          <w:color w:val="1E293B"/>
        </w:rPr>
        <w:t xml:space="preserve"> Large Language Models exhibit non-deterministic behavior. In banking fraud operations, security interventions (e.g., placing a 24-hour freeze on a customer's checking account) require deterministic state transitions and auditable decision matrices.</w:t>
      </w:r>
    </w:p>
    <w:p>
      <w:pPr>
        <w:pStyle w:val="ListBullet"/>
        <w:spacing w:after="60" w:line="276" w:lineRule="auto"/>
      </w:pPr>
      <w:r>
        <w:rPr>
          <w:b/>
          <w:color w:val="1E293B"/>
        </w:rPr>
        <w:t>3. Regulatory Non-Compliance &amp; Audit Failure:</w:t>
      </w:r>
      <w:r>
        <w:rPr>
          <w:color w:val="1E293B"/>
        </w:rPr>
        <w:t xml:space="preserve"> Regulatory frameworks (e.g., OCC, FDIC, GDPR) require immutable audit trails proving who approved a transaction freeze and what factual evidence justified the intervention. Chat logs provide poor structured forensic evidence.</w:t>
      </w:r>
    </w:p>
    <w:p>
      <w:pPr>
        <w:keepNext/>
        <w:spacing w:before="280" w:after="80"/>
      </w:pPr>
      <w:r>
        <w:rPr>
          <w:rFonts w:ascii="Calibri" w:hAnsi="Calibri"/>
          <w:b/>
          <w:color w:val="345063"/>
          <w:sz w:val="26"/>
        </w:rPr>
        <w:t>4.4 Research &amp; Innovation Hypothesis Formulation</w:t>
      </w:r>
    </w:p>
    <w:p>
      <w:r>
        <w:t>To link Day 3 interface design directly to measurable business value, SIMShield formulates the following formal research hypothesis: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bottom w:val="none"/>
              <w:left w:val="single" w:sz="36" w:space="0" w:color="0F2434"/>
              <w:right w:val="none"/>
            </w:tcBorders>
          </w:tcPr>
          <w:p>
            <w:pPr>
              <w:spacing w:after="40" w:line="276" w:lineRule="auto"/>
            </w:pPr>
            <w:r>
              <w:rPr>
                <w:b/>
                <w:color w:val="0F2434"/>
                <w:sz w:val="20"/>
              </w:rPr>
              <w:t>[NOTE] SIMShield Research &amp; Innovation Hypothesis (HYP-UI-001)</w:t>
              <w:br/>
            </w:r>
            <w:r>
              <w:rPr>
                <w:color w:val="1E293B"/>
                <w:sz w:val="19"/>
              </w:rPr>
              <w:t>"Displaying side-by-side carrier telemetry deltas (IMSI/ICCID change timestamp vs. cell tower velocity) adjacent to the explainable AI anomaly score will reduce analyst incident verification time from a baseline of 4.5 minutes to under 45 seconds, while maintaining a 0% false-dismissal rate on unauthorized Account Takeover (ATO) attempts."</w:t>
              <w:br/>
              <w:br/>
              <w:t>• Target Actor: Tier-1 Bank Fraud / Security Analyst</w:t>
              <w:br/>
              <w:t>• Primary Metric: Mean Time to Intervene (MTTI) &lt; 60 seconds</w:t>
              <w:br/>
              <w:t>• Verification Method: Timed, unassisted simulation tests using reproducible mock incidents</w:t>
              <w:br/>
              <w:t>• Architectural Outcome: Validated and supported in Day 3 testing harness.</w:t>
            </w:r>
          </w:p>
        </w:tc>
      </w:tr>
    </w:tbl>
    <w:p>
      <w:pPr>
        <w:spacing w:before="0" w:after="80"/>
      </w:pPr>
    </w:p>
    <w:p>
      <w:r>
        <w:br w:type="page"/>
      </w:r>
    </w:p>
    <w:p>
      <w:pPr>
        <w:keepNext/>
        <w:spacing w:before="400" w:after="120"/>
      </w:pPr>
      <w:r>
        <w:rPr>
          <w:rFonts w:ascii="Calibri" w:hAnsi="Calibri"/>
          <w:b/>
          <w:color w:val="0F2434"/>
          <w:sz w:val="32"/>
        </w:rPr>
        <w:t>5. Multi-Actor System Architecture &amp; Role Boundaries</w:t>
      </w:r>
    </w:p>
    <w:p>
      <w:pPr>
        <w:keepNext/>
        <w:spacing w:before="280" w:after="80"/>
      </w:pPr>
      <w:r>
        <w:rPr>
          <w:rFonts w:ascii="Calibri" w:hAnsi="Calibri"/>
          <w:b/>
          <w:color w:val="345063"/>
          <w:sz w:val="26"/>
        </w:rPr>
        <w:t>5.1 Role Theory in Banking Cybersecurity: Separation of Duties</w:t>
      </w:r>
    </w:p>
    <w:p>
      <w:r>
        <w:t>In mission-critical banking infrastructure, access control is governed by the principle of Separation of Duties (SoD). A system that allows a single user class to view alerts, modify risk algorithms, freeze accounts, and purge audit logs creates severe insider-threat and compliance vulnerabilities. SIMShield establishes an authoritative multi-actor hierarchy where privileges and liability are strictly isolated.</w:t>
      </w:r>
    </w:p>
    <w:p>
      <w:pPr>
        <w:keepNext/>
        <w:spacing w:before="280" w:after="80"/>
      </w:pPr>
      <w:r>
        <w:rPr>
          <w:rFonts w:ascii="Calibri" w:hAnsi="Calibri"/>
          <w:b/>
          <w:color w:val="345063"/>
          <w:sz w:val="26"/>
        </w:rPr>
        <w:t>5.2 Authentic Domain Actor Typology for SIMShield</w:t>
      </w:r>
    </w:p>
    <w:p>
      <w:pPr>
        <w:pStyle w:val="ListBullet"/>
        <w:spacing w:after="60" w:line="276" w:lineRule="auto"/>
      </w:pPr>
      <w:r>
        <w:rPr>
          <w:b/>
          <w:color w:val="1E293B"/>
        </w:rPr>
        <w:t>1. Primary Actor — Tier-1 Bank Fraud / Security Analyst:</w:t>
      </w:r>
      <w:r>
        <w:rPr>
          <w:color w:val="1E293B"/>
        </w:rPr>
        <w:t xml:space="preserve"> Frontline operator responsible for real-time monitoring of incoming SIM-swap alerts, inspecting carrier telemetry deltas, and executing initial defensive actions (e.g., enforcing temporary transaction holds or triggering step-up authentication).</w:t>
      </w:r>
    </w:p>
    <w:p>
      <w:pPr>
        <w:pStyle w:val="ListBullet"/>
        <w:spacing w:after="60" w:line="276" w:lineRule="auto"/>
      </w:pPr>
      <w:r>
        <w:rPr>
          <w:b/>
          <w:color w:val="1E293B"/>
        </w:rPr>
        <w:t>2. Oversight Actor — Tier-2 Fraud Supervisor / HITL Escalation Lead:</w:t>
      </w:r>
      <w:r>
        <w:rPr>
          <w:color w:val="1E293B"/>
        </w:rPr>
        <w:t xml:space="preserve"> Accountable supervisory lead who manages incident escalations, reviews uncertain AI classifications, evaluates analyst exception requests, and possesses exclusive authority to execute irreversible policy overrides.</w:t>
      </w:r>
    </w:p>
    <w:p>
      <w:pPr>
        <w:pStyle w:val="ListBullet"/>
        <w:spacing w:after="60" w:line="276" w:lineRule="auto"/>
      </w:pPr>
      <w:r>
        <w:rPr>
          <w:b/>
          <w:color w:val="1E293B"/>
        </w:rPr>
        <w:t>3. Governance Actor — Bank Security Administrator:</w:t>
      </w:r>
      <w:r>
        <w:rPr>
          <w:color w:val="1E293B"/>
        </w:rPr>
        <w:t xml:space="preserve"> Technical administrator responsible for configuring risk engine thresholds, managing carrier webhook endpoints, provisioning analyst accounts, and monitoring five-service infrastructure health.</w:t>
      </w:r>
    </w:p>
    <w:p>
      <w:pPr>
        <w:pStyle w:val="ListBullet"/>
        <w:spacing w:after="60" w:line="276" w:lineRule="auto"/>
      </w:pPr>
      <w:r>
        <w:rPr>
          <w:b/>
          <w:color w:val="1E293B"/>
        </w:rPr>
        <w:t>4. Compliance Actor — Internal &amp; Regulatory Compliance Auditor:</w:t>
      </w:r>
      <w:r>
        <w:rPr>
          <w:color w:val="1E293B"/>
        </w:rPr>
        <w:t xml:space="preserve"> Independent compliance officer who inspects immutable transaction logs, verifies non-repudiation cryptographic proofs, audits analyst overrides, and exports regulatory compliance reports. Strictly read-only scope.</w:t>
      </w:r>
    </w:p>
    <w:p>
      <w:pPr>
        <w:pStyle w:val="ListBullet"/>
        <w:spacing w:after="60" w:line="276" w:lineRule="auto"/>
      </w:pPr>
      <w:r>
        <w:rPr>
          <w:b/>
          <w:color w:val="1E293B"/>
        </w:rPr>
        <w:t>5. External Entity — Banking Retail Customer:</w:t>
      </w:r>
      <w:r>
        <w:rPr>
          <w:color w:val="1E293B"/>
        </w:rPr>
        <w:t xml:space="preserve"> Retail customer whose account is subject to protection. Interacts passively via push notifications and out-of-band step-up authentication (SMS/Biometric) via the bank's existing mobile application. Out of scope for the internal analyst operations shell.</w:t>
      </w:r>
    </w:p>
    <w:p>
      <w:pPr>
        <w:keepNext/>
        <w:spacing w:before="280" w:after="80"/>
      </w:pPr>
      <w:r>
        <w:rPr>
          <w:rFonts w:ascii="Calibri" w:hAnsi="Calibri"/>
          <w:b/>
          <w:color w:val="345063"/>
          <w:sz w:val="26"/>
        </w:rPr>
        <w:t>5.3 Comprehensive Actor-View Inventory</w:t>
      </w:r>
    </w:p>
    <w:p>
      <w:r>
        <w:t>The following inventory defines every validated view, its operational purpose, prioritized actions, data permissions, and Day 3 implementation depth:</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87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Actor Role</w:t>
            </w:r>
          </w:p>
        </w:tc>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Dashboard View Name</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Top-3 Priority Actions</w:t>
            </w:r>
          </w:p>
        </w:tc>
        <w:tc>
          <w:tcPr>
            <w:tcW w:type="dxa" w:w="172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Data Scope &amp; Boundaries</w:t>
            </w:r>
          </w:p>
        </w:tc>
        <w:tc>
          <w:tcPr>
            <w:tcW w:type="dxa" w:w="115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Day 3 Depth</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Tier-1 Fraud Analyst</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Real-Time Anomaly Triage Queue (`/analyst/queue`)</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1. Triage alert by risk score</w:t>
              <w:br/>
              <w:t>2. Inspect carrier telemetry</w:t>
              <w:br/>
              <w:t>3. Enforce 24h transaction hold</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READ: Redacted customer PII, carrier diff, risk score.</w:t>
              <w:br/>
              <w:t>WRITE: Transaction hold, step-up auth.</w:t>
              <w:br/>
              <w:t>FORBIDDEN: Risk policy changes, audit purge.</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BUILD NOW</w:t>
              <w:br/>
              <w:t>(Clickable Shell)</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Tier-1 Fraud Analyst</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Forensic Incident Detail (`/analyst/cases/:id`)</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1. Compare old vs new IMSI</w:t>
              <w:br/>
              <w:t>2. Review geo-velocity map</w:t>
              <w:br/>
              <w:t>3. Escalate case to Tier-2</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READ: Full incident telemetry, historical flags.</w:t>
              <w:br/>
              <w:t>WRITE: Case notes, escalation handover.</w:t>
              <w:br/>
              <w:t>FORBIDDEN: Supervisory override.</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BUILD NOW</w:t>
              <w:br/>
              <w:t>(Clickable Shell)</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Tier-2 Supervisor</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Escalation &amp; Exception Queue (`/supervisor/queue`)</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1. Filter escalated cases</w:t>
              <w:br/>
              <w:t>2. Inspect analyst rationale</w:t>
              <w:br/>
              <w:t>3. Assign reviewer priority</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READ: All Tier-1 cases, escalation rationale.</w:t>
              <w:br/>
              <w:t>WRITE: Case assignment, priority adjustment.</w:t>
              <w:br/>
              <w:t>FORBIDDEN: Deleting audit history.</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BUILD NOW</w:t>
              <w:br/>
              <w:t>(Clickable Shell)</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Tier-2 Supervisor</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Dual-Control Resolution Console (`/supervisor/resolve/:id`)</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1. Execute supervisory override</w:t>
              <w:br/>
              <w:t>2. Release unconfirmed hold</w:t>
              <w:br/>
              <w:t>3. Confirm permanent fraud block</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READ: Unredacted carrier logs, fraud vectors.</w:t>
              <w:br/>
              <w:t>WRITE: Permanent account freeze, override rationale.</w:t>
              <w:br/>
              <w:t>FORBIDDEN: Direct risk threshold modification.</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BUILD NOW</w:t>
              <w:br/>
              <w:t>(Clickable Shell)</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Security Admin</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Risk Policy &amp; Engine Config (`/admin/policies`)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1. Adjust anomaly thresholds</w:t>
              <w:br/>
              <w:t>2. Configure telco webhooks</w:t>
              <w:br/>
              <w:t>3. Monitor service health</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READ: Five-service telemetry, model versioning.</w:t>
              <w:br/>
              <w:t>WRITE: Threshold values, webhook endpoints.</w:t>
              <w:br/>
              <w:t>FORBIDDEN: Direct operational case intervention.</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CLICKABLE PROTOTYPE</w:t>
              <w:br/>
              <w:t>(Day 3 Navigation)</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Compliance Auditor</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Immutable Audit Explorer (`/auditor/logs`)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1. Filter historical overrides</w:t>
              <w:br/>
              <w:t>2. Verify cryptographic proofs</w:t>
              <w:br/>
              <w:t>3. Export regulatory audit pack</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READ: Read-only access to immutable logs, actor timestamps, override justifications.</w:t>
              <w:br/>
              <w:t>WRITE: Zero write permissions.</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WIREFRAME</w:t>
              <w:br/>
              <w:t>(Documented Spec)</w:t>
            </w:r>
          </w:p>
        </w:tc>
      </w:tr>
    </w:tbl>
    <w:p>
      <w:pPr>
        <w:spacing w:before="40" w:after="120"/>
      </w:pPr>
    </w:p>
    <w:p>
      <w:pPr>
        <w:keepNext/>
        <w:spacing w:before="280" w:after="80"/>
      </w:pPr>
      <w:r>
        <w:rPr>
          <w:rFonts w:ascii="Calibri" w:hAnsi="Calibri"/>
          <w:b/>
          <w:color w:val="345063"/>
          <w:sz w:val="26"/>
        </w:rPr>
        <w:t>5.4 Experience-Layer RBAC Emulation vs Server-Authoritative BFF Enforcement</w:t>
      </w:r>
    </w:p>
    <w:p>
      <w:r>
        <w:t>A fundamental security vulnerability in modern single-page applications is client-side authorization bypass. SIMShield establishes an explicit architectural boundary separating UI presentation from backend enforcement: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bottom w:val="none"/>
              <w:left w:val="single" w:sz="36" w:space="0" w:color="0F2434"/>
              <w:right w:val="none"/>
            </w:tcBorders>
          </w:tcPr>
          <w:p>
            <w:pPr>
              <w:spacing w:after="40" w:line="276" w:lineRule="auto"/>
            </w:pPr>
            <w:r>
              <w:rPr>
                <w:b/>
                <w:color w:val="0F2434"/>
                <w:sz w:val="20"/>
              </w:rPr>
              <w:t>[NOTE] Security Trust Boundary Architecture</w:t>
              <w:br/>
            </w:r>
            <w:r>
              <w:rPr>
                <w:color w:val="1E293B"/>
                <w:sz w:val="19"/>
              </w:rPr>
              <w:t>• Client-Side Role Emulation: Nuxt 3 utilizes Pinia session stores to dynamically tailor the user experience—hiding unauthorized buttons, rendering appropriate navigation menus, and providing development-time role-switching harnesses.</w:t>
              <w:br/>
              <w:t>• Server-Authoritative Gateway Enforcement: Client-side role checks provide zero security. Every protected mutation (e.g., executing a transaction hold, submitting an override) is strictly authenticated and authorized by the NestJS BFF Gateway (:3001) using signed JWT tokens and cryptographic role guards. If a malicious client tampers with frontend state, the NestJS BFF instantly rejects the request with HTTP 403 Forbidden.</w:t>
            </w:r>
          </w:p>
        </w:tc>
      </w:tr>
    </w:tbl>
    <w:p>
      <w:pPr>
        <w:spacing w:before="0" w:after="80"/>
      </w:pPr>
    </w:p>
    <w:p>
      <w:r>
        <w:br w:type="page"/>
      </w:r>
    </w:p>
    <w:p>
      <w:pPr>
        <w:keepNext/>
        <w:spacing w:before="400" w:after="120"/>
      </w:pPr>
      <w:r>
        <w:rPr>
          <w:rFonts w:ascii="Calibri" w:hAnsi="Calibri"/>
          <w:b/>
          <w:color w:val="0F2434"/>
          <w:sz w:val="32"/>
        </w:rPr>
        <w:t>6. Information Architecture &amp; The 7-Step Journey Grammar</w:t>
      </w:r>
    </w:p>
    <w:p>
      <w:pPr>
        <w:keepNext/>
        <w:spacing w:before="280" w:after="80"/>
      </w:pPr>
      <w:r>
        <w:rPr>
          <w:rFonts w:ascii="Calibri" w:hAnsi="Calibri"/>
          <w:b/>
          <w:color w:val="345063"/>
          <w:sz w:val="26"/>
        </w:rPr>
        <w:t>6.1 Multi-Layered Information Architecture</w:t>
      </w:r>
    </w:p>
    <w:p>
      <w:r>
        <w:t>SIMShield structures its interface into five distinct architectural navigation layers, ensuring that analysts maintain situational awareness without cognitive fatigue:</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58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Navigation Layer</w:t>
            </w:r>
          </w:p>
        </w:tc>
        <w:tc>
          <w:tcPr>
            <w:tcW w:type="dxa" w:w="230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Architectural Role</w:t>
            </w:r>
          </w:p>
        </w:tc>
        <w:tc>
          <w:tcPr>
            <w:tcW w:type="dxa" w:w="331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SIMShield Concrete Implementation</w:t>
            </w:r>
          </w:p>
        </w:tc>
        <w:tc>
          <w:tcPr>
            <w:tcW w:type="dxa" w:w="216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Design &amp; Usability Rule</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Global Layer</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Persistent application identity, active actor context, and security controls.</w:t>
            </w:r>
          </w:p>
        </w:tc>
        <w:tc>
          <w:tcPr>
            <w:tcW w:type="dxa" w:w="331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Top header bar displaying SIMShield logo, environment banner, active actor profile, notifications, and secure logout.</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Stable across all routes; never scrolls out of view; displays active threat indicator.</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Primary Layer</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Role-scoped macro navigation destinations.</w:t>
            </w:r>
          </w:p>
        </w:tc>
        <w:tc>
          <w:tcPr>
            <w:tcW w:type="dxa" w:w="331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Left navigation rail rendering authorized destinations based on active Pinia role (e.g., Triage Queue, Supervisor Escalations, Policies).</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Strictly derived from typed actor permissions; zero technical jargon (no 'FastAPI' or 'MySQL' links).</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Contextual Layer</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Micro-actions relevant to the specific incident or record currently selected.</w:t>
            </w:r>
          </w:p>
        </w:tc>
        <w:tc>
          <w:tcPr>
            <w:tcW w:type="dxa" w:w="331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Incident workspace action bar: 'Enforce Hold', 'Step-Up Auth', 'Escalate to Tier-2', 'Add Forensic Note'.</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Located adjacent to incident evidence; disabled dynamically during inflight operations.</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Utility Layer</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Cross-cutting operational tools.</w:t>
            </w:r>
          </w:p>
        </w:tc>
        <w:tc>
          <w:tcPr>
            <w:tcW w:type="dxa" w:w="331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Filter drawers (by Carrier, Threat Severity, Account Tier), search input, dark-mode toggle.</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Easily discoverable but subordinate to primary action workflows.</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Recovery Layer</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Fail-safe paths when operational tasks encounter exceptions.</w:t>
            </w:r>
          </w:p>
        </w:tc>
        <w:tc>
          <w:tcPr>
            <w:tcW w:type="dxa" w:w="331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'Retry Telemetry Fetch', 'Save Offline Draft', 'Cancel &amp; Return to Queue', 'Emergency Support Contact'.</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Universally available during error, denied, or network failure states.</w:t>
            </w:r>
          </w:p>
        </w:tc>
      </w:tr>
    </w:tbl>
    <w:p>
      <w:pPr>
        <w:spacing w:before="40" w:after="120"/>
      </w:pPr>
    </w:p>
    <w:p>
      <w:pPr>
        <w:keepNext/>
        <w:spacing w:before="280" w:after="80"/>
      </w:pPr>
      <w:r>
        <w:rPr>
          <w:rFonts w:ascii="Calibri" w:hAnsi="Calibri"/>
          <w:b/>
          <w:color w:val="345063"/>
          <w:sz w:val="26"/>
        </w:rPr>
        <w:t>6.2 The 7-Step Priority Journey Grammar</w:t>
      </w:r>
    </w:p>
    <w:p>
      <w:r>
        <w:t>Every high-value interaction in SIMShield is modeled against the canonical 7-step journey grammar, ensuring predictable state progression and user comprehension:</w:t>
      </w:r>
    </w:p>
    <w:p>
      <w:pPr>
        <w:pStyle w:val="ListBullet"/>
        <w:spacing w:after="60" w:line="276" w:lineRule="auto"/>
      </w:pPr>
      <w:r>
        <w:rPr>
          <w:b/>
          <w:color w:val="1E293B"/>
        </w:rPr>
        <w:t>1. Trigger (Inbound Threat Signal):</w:t>
      </w:r>
      <w:r>
        <w:rPr>
          <w:color w:val="1E293B"/>
        </w:rPr>
        <w:t xml:space="preserve"> Inbound webhook from telecommunications partner signals a SIM card replacement event. The real-time queue increments, and a visual high-severity banner activates.</w:t>
      </w:r>
    </w:p>
    <w:p>
      <w:pPr>
        <w:pStyle w:val="ListBullet"/>
        <w:spacing w:after="60" w:line="276" w:lineRule="auto"/>
      </w:pPr>
      <w:r>
        <w:rPr>
          <w:b/>
          <w:color w:val="1E293B"/>
        </w:rPr>
        <w:t>2. Orient (Situational Context):</w:t>
      </w:r>
      <w:r>
        <w:rPr>
          <w:color w:val="1E293B"/>
        </w:rPr>
        <w:t xml:space="preserve"> Analyst reviews the priority queue, immediately oriented by the threat score (e.g., 'Score: 94 - CRITICAL'), financial exposure (e.g., '$125,000 pending wire'), and time-to-SLA breach.</w:t>
      </w:r>
    </w:p>
    <w:p>
      <w:pPr>
        <w:pStyle w:val="ListBullet"/>
        <w:spacing w:after="60" w:line="276" w:lineRule="auto"/>
      </w:pPr>
      <w:r>
        <w:rPr>
          <w:b/>
          <w:color w:val="1E293B"/>
        </w:rPr>
        <w:t>3. Act (Investigative Action):</w:t>
      </w:r>
      <w:r>
        <w:rPr>
          <w:color w:val="1E293B"/>
        </w:rPr>
        <w:t xml:space="preserve"> Analyst selects the alert, opening the forensic workspace. The analyst requests a deep telemetry diff comparing historical carrier records against the new replacement metadata.</w:t>
      </w:r>
    </w:p>
    <w:p>
      <w:pPr>
        <w:pStyle w:val="ListBullet"/>
        <w:spacing w:after="60" w:line="276" w:lineRule="auto"/>
      </w:pPr>
      <w:r>
        <w:rPr>
          <w:b/>
          <w:color w:val="1E293B"/>
        </w:rPr>
        <w:t>4. Wait (Non-Deceptive Processing):</w:t>
      </w:r>
      <w:r>
        <w:rPr>
          <w:color w:val="1E293B"/>
        </w:rPr>
        <w:t xml:space="preserve"> The UI displays an honest, non-deceptive loading state. Background requests are dispatched to the NestJS BFF; duplicate action clicks are hardware-disabled; context is preserved.</w:t>
      </w:r>
    </w:p>
    <w:p>
      <w:pPr>
        <w:pStyle w:val="ListBullet"/>
        <w:spacing w:after="60" w:line="276" w:lineRule="auto"/>
      </w:pPr>
      <w:r>
        <w:rPr>
          <w:b/>
          <w:color w:val="1E293B"/>
        </w:rPr>
        <w:t>5. Decide (Evidence-Based Decision):</w:t>
      </w:r>
      <w:r>
        <w:rPr>
          <w:color w:val="1E293B"/>
        </w:rPr>
        <w:t xml:space="preserve"> Forensic diff renders side-by-side. AI anomaly narrative highlights: 'IMSI changed 12 minutes prior to $125k wire request; cell tower geo-velocity impossible (500mph displacement)'. Analyst decides to enforce a transaction freeze.</w:t>
      </w:r>
    </w:p>
    <w:p>
      <w:pPr>
        <w:pStyle w:val="ListBullet"/>
        <w:spacing w:after="60" w:line="276" w:lineRule="auto"/>
      </w:pPr>
      <w:r>
        <w:rPr>
          <w:b/>
          <w:color w:val="1E293B"/>
        </w:rPr>
        <w:t>6. Recover or Escalate (Exception Handling):</w:t>
      </w:r>
      <w:r>
        <w:rPr>
          <w:color w:val="1E293B"/>
        </w:rPr>
        <w:t xml:space="preserve"> If the analyst is uncertain or if carrier data is incomplete, the system provides a seamless escalation path, transferring ownership to the Tier-2 Supervisor queue.</w:t>
      </w:r>
    </w:p>
    <w:p>
      <w:pPr>
        <w:pStyle w:val="ListBullet"/>
        <w:spacing w:after="60" w:line="276" w:lineRule="auto"/>
      </w:pPr>
      <w:r>
        <w:rPr>
          <w:b/>
          <w:color w:val="1E293B"/>
        </w:rPr>
        <w:t>7. Confirm (Auditable Closure):</w:t>
      </w:r>
      <w:r>
        <w:rPr>
          <w:color w:val="1E293B"/>
        </w:rPr>
        <w:t xml:space="preserve"> System displays unambiguous success confirmation: Account freeze active, banking core notification dispatched, cryptographic audit token recorded in MySQL.</w:t>
      </w:r>
    </w:p>
    <w:p>
      <w:pPr>
        <w:keepNext/>
        <w:spacing w:before="280" w:after="80"/>
      </w:pPr>
      <w:r>
        <w:rPr>
          <w:rFonts w:ascii="Calibri" w:hAnsi="Calibri"/>
          <w:b/>
          <w:color w:val="345063"/>
          <w:sz w:val="26"/>
        </w:rPr>
        <w:t>6.3 Detailed Workflow: Tier-1 Fraud Analyst Primary Journey</w:t>
      </w:r>
    </w:p>
    <w:p>
      <w:r>
        <w:t>The primary journey represents the core defensive capability of SIMShield. The step-by-step workflow proceeds as follows:</w:t>
      </w:r>
    </w:p>
    <w:p>
      <w:pPr>
        <w:pStyle w:val="ListBullet"/>
        <w:spacing w:after="60" w:line="276" w:lineRule="auto"/>
      </w:pPr>
      <w:r>
        <w:rPr>
          <w:b/>
          <w:color w:val="1E293B"/>
        </w:rPr>
        <w:t>Step 1 (Arrival):</w:t>
      </w:r>
      <w:r>
        <w:rPr>
          <w:color w:val="1E293B"/>
        </w:rPr>
        <w:t xml:space="preserve"> Analyst authenticates and lands on `/analyst/queue`. Queue displays 3 active incidents sorted by descending risk score.</w:t>
      </w:r>
    </w:p>
    <w:p>
      <w:pPr>
        <w:pStyle w:val="ListBullet"/>
        <w:spacing w:after="60" w:line="276" w:lineRule="auto"/>
      </w:pPr>
      <w:r>
        <w:rPr>
          <w:b/>
          <w:color w:val="1E293B"/>
        </w:rPr>
        <w:t>Step 2 (Selection):</w:t>
      </w:r>
      <w:r>
        <w:rPr>
          <w:color w:val="1E293B"/>
        </w:rPr>
        <w:t xml:space="preserve"> Analyst selects Case `#SIM-8921` (Customer: Elena Rostova, High-Net-Worth Account).</w:t>
      </w:r>
    </w:p>
    <w:p>
      <w:pPr>
        <w:pStyle w:val="ListBullet"/>
        <w:spacing w:after="60" w:line="276" w:lineRule="auto"/>
      </w:pPr>
      <w:r>
        <w:rPr>
          <w:b/>
          <w:color w:val="1E293B"/>
        </w:rPr>
        <w:t>Step 3 (Forensic Review):</w:t>
      </w:r>
      <w:r>
        <w:rPr>
          <w:color w:val="1E293B"/>
        </w:rPr>
        <w:t xml:space="preserve"> Interface transitions to `/analyst/cases/SIM-8921`. Visual panels display: (a) Customer Identity Summary, (b) Carrier Replacement Telemetry, (c) Pending Financial Transactions ($125,000 international transfer), (d) Explainable AI Anomaly Vector.</w:t>
      </w:r>
    </w:p>
    <w:p>
      <w:pPr>
        <w:pStyle w:val="ListBullet"/>
        <w:spacing w:after="60" w:line="276" w:lineRule="auto"/>
      </w:pPr>
      <w:r>
        <w:rPr>
          <w:b/>
          <w:color w:val="1E293B"/>
        </w:rPr>
        <w:t>Step 4 (Intervention):</w:t>
      </w:r>
      <w:r>
        <w:rPr>
          <w:color w:val="1E293B"/>
        </w:rPr>
        <w:t xml:space="preserve"> Analyst clicks 'Enforce 24h Transaction Hold'. Modal prompts for analyst authorization PIN and brief operational justification.</w:t>
      </w:r>
    </w:p>
    <w:p>
      <w:pPr>
        <w:pStyle w:val="ListBullet"/>
        <w:spacing w:after="60" w:line="276" w:lineRule="auto"/>
      </w:pPr>
      <w:r>
        <w:rPr>
          <w:b/>
          <w:color w:val="1E293B"/>
        </w:rPr>
        <w:t>Step 5 (Execution):</w:t>
      </w:r>
      <w:r>
        <w:rPr>
          <w:color w:val="1E293B"/>
        </w:rPr>
        <w:t xml:space="preserve"> Pinia store dispatches mutation to NestJS BFF. UI transitions to optimistic loading state with progress indicator.</w:t>
      </w:r>
    </w:p>
    <w:p>
      <w:pPr>
        <w:pStyle w:val="ListBullet"/>
        <w:spacing w:after="60" w:line="276" w:lineRule="auto"/>
      </w:pPr>
      <w:r>
        <w:rPr>
          <w:b/>
          <w:color w:val="1E293B"/>
        </w:rPr>
        <w:t>Step 6 (Confirmation):</w:t>
      </w:r>
      <w:r>
        <w:rPr>
          <w:color w:val="1E293B"/>
        </w:rPr>
        <w:t xml:space="preserve"> NestJS BFF confirms hold. Incident status updates to `HELD_PROTECTED`. Customer notification queued. Audit token `#AUD-90214` rendered.</w:t>
      </w:r>
    </w:p>
    <w:p>
      <w:pPr>
        <w:keepNext/>
        <w:spacing w:before="280" w:after="80"/>
      </w:pPr>
      <w:r>
        <w:rPr>
          <w:rFonts w:ascii="Calibri" w:hAnsi="Calibri"/>
          <w:b/>
          <w:color w:val="345063"/>
          <w:sz w:val="26"/>
        </w:rPr>
        <w:t>6.4 Detailed Workflow: Tier-2 Fraud Supervisor Oversight Journey</w:t>
      </w:r>
    </w:p>
    <w:p>
      <w:r>
        <w:t>The oversight journey ensures that high-impact or ambiguous fraud classifications undergo rigorous human-in-the-loop governance:</w:t>
      </w:r>
    </w:p>
    <w:p>
      <w:pPr>
        <w:pStyle w:val="ListBullet"/>
        <w:spacing w:after="60" w:line="276" w:lineRule="auto"/>
      </w:pPr>
      <w:r>
        <w:rPr>
          <w:b/>
          <w:color w:val="1E293B"/>
        </w:rPr>
        <w:t>Step 1 (Queue Inspection):</w:t>
      </w:r>
      <w:r>
        <w:rPr>
          <w:color w:val="1E293B"/>
        </w:rPr>
        <w:t xml:space="preserve"> Supervisor accesses `/supervisor/queue`. Queue displays escalated cases tagged `REQUIRES_SUPERVISOR_REVIEW`.</w:t>
      </w:r>
    </w:p>
    <w:p>
      <w:pPr>
        <w:pStyle w:val="ListBullet"/>
        <w:spacing w:after="60" w:line="276" w:lineRule="auto"/>
      </w:pPr>
      <w:r>
        <w:rPr>
          <w:b/>
          <w:color w:val="1E293B"/>
        </w:rPr>
        <w:t>Step 2 (Case Opening):</w:t>
      </w:r>
      <w:r>
        <w:rPr>
          <w:color w:val="1E293B"/>
        </w:rPr>
        <w:t xml:space="preserve"> Supervisor selects Case `#SIM-7740` (Escalated by Tier-1 Analyst due to conflicting roaming telemetry).</w:t>
      </w:r>
    </w:p>
    <w:p>
      <w:pPr>
        <w:pStyle w:val="ListBullet"/>
        <w:spacing w:after="60" w:line="276" w:lineRule="auto"/>
      </w:pPr>
      <w:r>
        <w:rPr>
          <w:b/>
          <w:color w:val="1E293B"/>
        </w:rPr>
        <w:t>Step 3 (Evidence Evaluation):</w:t>
      </w:r>
      <w:r>
        <w:rPr>
          <w:color w:val="1E293B"/>
        </w:rPr>
        <w:t xml:space="preserve"> Console renders analyst notes, unredacted carrier logs, and a prominent 'Limitation Notice: Telco roaming telemetry delayed by 45 minutes'.</w:t>
      </w:r>
    </w:p>
    <w:p>
      <w:pPr>
        <w:pStyle w:val="ListBullet"/>
        <w:spacing w:after="60" w:line="276" w:lineRule="auto"/>
      </w:pPr>
      <w:r>
        <w:rPr>
          <w:b/>
          <w:color w:val="1E293B"/>
        </w:rPr>
        <w:t>Step 4 (Verification):</w:t>
      </w:r>
      <w:r>
        <w:rPr>
          <w:color w:val="1E293B"/>
        </w:rPr>
        <w:t xml:space="preserve"> Supervisor initiates customer biometric cross-check via mobile banking channel. Customer fails biometric verification.</w:t>
      </w:r>
    </w:p>
    <w:p>
      <w:pPr>
        <w:pStyle w:val="ListBullet"/>
        <w:spacing w:after="60" w:line="276" w:lineRule="auto"/>
      </w:pPr>
      <w:r>
        <w:rPr>
          <w:b/>
          <w:color w:val="1E293B"/>
        </w:rPr>
        <w:t>Step 5 (Dual-Control Authorization):</w:t>
      </w:r>
      <w:r>
        <w:rPr>
          <w:color w:val="1E293B"/>
        </w:rPr>
        <w:t xml:space="preserve"> Supervisor executes 'Permanent Fraud Block &amp; SIM Invalidation'. Modal requires supervisory dual-authorization credentials.</w:t>
      </w:r>
    </w:p>
    <w:p>
      <w:pPr>
        <w:pStyle w:val="ListBullet"/>
        <w:spacing w:after="60" w:line="276" w:lineRule="auto"/>
      </w:pPr>
      <w:r>
        <w:rPr>
          <w:b/>
          <w:color w:val="1E293B"/>
        </w:rPr>
        <w:t>Step 6 (Final Resolution):</w:t>
      </w:r>
      <w:r>
        <w:rPr>
          <w:color w:val="1E293B"/>
        </w:rPr>
        <w:t xml:space="preserve"> Action committed. Case transitions to `RESOLVED_CONFIRMED_FRAUD`. Audit trail updated with supervisor identity and regulatory report payload.</w:t>
      </w:r>
    </w:p>
    <w:p>
      <w:r>
        <w:br w:type="page"/>
      </w:r>
    </w:p>
    <w:p>
      <w:pPr>
        <w:keepNext/>
        <w:spacing w:before="400" w:after="120"/>
      </w:pPr>
      <w:r>
        <w:rPr>
          <w:rFonts w:ascii="Calibri" w:hAnsi="Calibri"/>
          <w:b/>
          <w:color w:val="0F2434"/>
          <w:sz w:val="32"/>
        </w:rPr>
        <w:t>7. The Deterministic Minimum State Machine Architecture</w:t>
      </w:r>
    </w:p>
    <w:p>
      <w:pPr>
        <w:keepNext/>
        <w:spacing w:before="280" w:after="80"/>
      </w:pPr>
      <w:r>
        <w:rPr>
          <w:rFonts w:ascii="Calibri" w:hAnsi="Calibri"/>
          <w:b/>
          <w:color w:val="345063"/>
          <w:sz w:val="26"/>
        </w:rPr>
        <w:t>7.1 The Six Mandatory Interface States</w:t>
      </w:r>
    </w:p>
    <w:p>
      <w:r>
        <w:t>A robust enterprise application cannot rely solely on happy-path demonstrations. SIMShield implements a deterministic finite state machine covering six mandatory architectural states across every view:</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44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System State</w:t>
            </w:r>
          </w:p>
        </w:tc>
        <w:tc>
          <w:tcPr>
            <w:tcW w:type="dxa" w:w="216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Core User Question Answered</w:t>
            </w:r>
          </w:p>
        </w:tc>
        <w:tc>
          <w:tcPr>
            <w:tcW w:type="dxa" w:w="345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Required Interface Behavior &amp; Safe Actions</w:t>
            </w:r>
          </w:p>
        </w:tc>
        <w:tc>
          <w:tcPr>
            <w:tcW w:type="dxa" w:w="230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Prohibited Interface Traps</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Loading</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Is the system actively processing my request?</w:t>
            </w:r>
          </w:p>
        </w:tc>
        <w:tc>
          <w:tcPr>
            <w:tcW w:type="dxa" w:w="345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Render honest skeleton loaders; disable interactive buttons to prevent double-submissions; preserve all form input context.</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Do not display blank white screens; do not allow multiple clicks that trigger duplicate backend transactions.</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Empty</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Why is there no data displayed here?</w:t>
            </w:r>
          </w:p>
        </w:tc>
        <w:tc>
          <w:tcPr>
            <w:tcW w:type="dxa" w:w="345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Provide plain-language explanation (e.g., 'Zero unassigned fraud alerts matching current filters'); display last-refresh timestamp; provide 'Clear Filters' action.</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Do not show a broken grid or confusing empty table without guidance; do not imply a system crash.</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Error</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What failed, and what immediate action can I take?</w:t>
            </w:r>
          </w:p>
        </w:tc>
        <w:tc>
          <w:tcPr>
            <w:tcW w:type="dxa" w:w="345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Display plain-language error message (e.g., 'Carrier telemetry gateway timed out (HTTP 504)'); offer 'Retry Request' and 'Save Draft' buttons.</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Never expose raw stack traces or database connection strings; do not leave the user stranded without a recovery route.</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Denied</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Why am I prevented from executing this action?</w:t>
            </w:r>
          </w:p>
        </w:tc>
        <w:tc>
          <w:tcPr>
            <w:tcW w:type="dxa" w:w="345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Explain authorization boundary clearly (e.g., 'Tier-1 Analysts cannot execute Permanent Account Blocks; escalate to Supervisor'); provide direct escalation link.</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Do not silently fail or hide buttons without explanation; never leak confidential system architecture.</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Escalated</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Who owns this incident now, and what is its status?</w:t>
            </w:r>
          </w:p>
        </w:tc>
        <w:tc>
          <w:tcPr>
            <w:tcW w:type="dxa" w:w="345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Display escalation reference ID (`#ESC-4401`), assigned supervisor queue, escalation timestamp, and read-only case view.</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Do not leave case status ambiguous; do not permit further Tier-1 mutations while case is under supervisory review.</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Success</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What specific change occurred in the banking system?</w:t>
            </w:r>
          </w:p>
        </w:tc>
        <w:tc>
          <w:tcPr>
            <w:tcW w:type="dxa" w:w="345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Display green confirmation banner with transaction hold ID (`#HLD-1029`), affected account number, and immutable audit token.</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Do not provide vague 'Success' popups without displaying what system state was altered.</w:t>
            </w:r>
          </w:p>
        </w:tc>
      </w:tr>
    </w:tbl>
    <w:p>
      <w:pPr>
        <w:spacing w:before="40" w:after="120"/>
      </w:pPr>
    </w:p>
    <w:p>
      <w:pPr>
        <w:keepNext/>
        <w:spacing w:before="280" w:after="80"/>
      </w:pPr>
      <w:r>
        <w:rPr>
          <w:rFonts w:ascii="Calibri" w:hAnsi="Calibri"/>
          <w:b/>
          <w:color w:val="345063"/>
          <w:sz w:val="26"/>
        </w:rPr>
        <w:t>7.2 Extended Banking Domain States</w:t>
      </w:r>
    </w:p>
    <w:p>
      <w:r>
        <w:t>In addition to standard UI states, financial cybersecurity introduces high-consequence operational states that must be explicitly modeled:</w:t>
      </w:r>
    </w:p>
    <w:p>
      <w:pPr>
        <w:pStyle w:val="ListBullet"/>
        <w:spacing w:after="60" w:line="276" w:lineRule="auto"/>
      </w:pPr>
      <w:r>
        <w:rPr>
          <w:b/>
          <w:color w:val="1E293B"/>
        </w:rPr>
        <w:t>1. Stale Telemetry State:</w:t>
      </w:r>
      <w:r>
        <w:rPr>
          <w:color w:val="1E293B"/>
        </w:rPr>
        <w:t xml:space="preserve"> Occurs when telecommunication carrier webhook data is older than 15 minutes. The interface renders an amber telemetry warning badge: 'Stale Carrier Data: Telemetry latency exceeds 15m. Exercise caution or request manual carrier poll.'</w:t>
      </w:r>
    </w:p>
    <w:p>
      <w:pPr>
        <w:pStyle w:val="ListBullet"/>
        <w:spacing w:after="60" w:line="276" w:lineRule="auto"/>
      </w:pPr>
      <w:r>
        <w:rPr>
          <w:b/>
          <w:color w:val="1E293B"/>
        </w:rPr>
        <w:t>2. Concurrent Review Lock State:</w:t>
      </w:r>
      <w:r>
        <w:rPr>
          <w:color w:val="1E293B"/>
        </w:rPr>
        <w:t xml:space="preserve"> Occurs when two analysts open the same incident simultaneously. The interface acquires a client-side optimistic lock. The second analyst receives a notification: 'Case locked by Analyst Marcus Vance. Read-only mode active.'</w:t>
      </w:r>
    </w:p>
    <w:p>
      <w:pPr>
        <w:pStyle w:val="ListBullet"/>
        <w:spacing w:after="60" w:line="276" w:lineRule="auto"/>
      </w:pPr>
      <w:r>
        <w:rPr>
          <w:b/>
          <w:color w:val="1E293B"/>
        </w:rPr>
        <w:t>3. Reassigned Case State:</w:t>
      </w:r>
      <w:r>
        <w:rPr>
          <w:color w:val="1E293B"/>
        </w:rPr>
        <w:t xml:space="preserve"> Occurs when an escalated case is reassigned by a supervisor to another investigator. The local UI halts active editing, alerts the analyst, and safely refreshes the workspace.</w:t>
      </w:r>
    </w:p>
    <w:p>
      <w:pPr>
        <w:pStyle w:val="ListBullet"/>
        <w:spacing w:after="60" w:line="276" w:lineRule="auto"/>
      </w:pPr>
      <w:r>
        <w:rPr>
          <w:b/>
          <w:color w:val="1E293B"/>
        </w:rPr>
        <w:t>4. Low AI Confidence State:</w:t>
      </w:r>
      <w:r>
        <w:rPr>
          <w:color w:val="1E293B"/>
        </w:rPr>
        <w:t xml:space="preserve"> Occurs when the ML model returns a confidence score between 40% and 60%. The interface suppresses automated recommendations, highlights missing features, and forces a mandatory human review workflow.</w:t>
      </w:r>
    </w:p>
    <w:p>
      <w:pPr>
        <w:keepNext/>
        <w:spacing w:before="280" w:after="80"/>
      </w:pPr>
      <w:r>
        <w:rPr>
          <w:rFonts w:ascii="Calibri" w:hAnsi="Calibri"/>
          <w:b/>
          <w:color w:val="345063"/>
          <w:sz w:val="26"/>
        </w:rPr>
        <w:t>7.3 Comprehensive State Machine Matrix</w:t>
      </w:r>
    </w:p>
    <w:p>
      <w:r>
        <w:t>The following matrix maps operational triggers to state transitions, preserved context, and service ownership:</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158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State Identifier</w:t>
            </w:r>
          </w:p>
        </w:tc>
        <w:tc>
          <w:tcPr>
            <w:tcW w:type="dxa" w:w="172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Operational Trigger</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Interface Message &amp; Visual Cue</w:t>
            </w:r>
          </w:p>
        </w:tc>
        <w:tc>
          <w:tcPr>
            <w:tcW w:type="dxa" w:w="144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Preserved Context</w:t>
            </w:r>
          </w:p>
        </w:tc>
        <w:tc>
          <w:tcPr>
            <w:tcW w:type="dxa" w:w="158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Permitted Next Action</w:t>
            </w:r>
          </w:p>
        </w:tc>
        <w:tc>
          <w:tcPr>
            <w:tcW w:type="dxa" w:w="115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Owning Service</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STATE-LOAD</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Analyst clicks 'Inspect Telemetry'</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Pulsing skeleton loader + 'Connecting to Carrier Telemetry Gateway...'</w:t>
            </w:r>
          </w:p>
        </w:tc>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Incident ID, Analyst Form Draft</w:t>
            </w:r>
          </w:p>
        </w:tc>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Cancel Request</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Nuxt 3 / Pinia</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STATE-EMPTY</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Filter: 'Severity = Low'</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Neutral banner: 'No low-severity incidents found in active 24h buffer.'</w:t>
            </w:r>
          </w:p>
        </w:tc>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Active Filters, User Profile</w:t>
            </w:r>
          </w:p>
        </w:tc>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Reset Filters, Refresh Queue</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NestJS BFF</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STATE-ERR-504</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FastAPI AI inference timeout</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Red banner: 'AI Anomaly Engine unresponsive. Falling back to heuristic rule-base.'</w:t>
            </w:r>
          </w:p>
        </w:tc>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Full Incident Form &amp; Notes</w:t>
            </w:r>
          </w:p>
        </w:tc>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Retry Inference, Apply Manual Rule</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FastAPI / BFF</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STATE-DENIED</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Tier-1 clicks 'Permanent Block'</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Amber shield: 'Supervisory Authorization Required for Permanent SIM Block.'</w:t>
            </w:r>
          </w:p>
        </w:tc>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Case ID, Analyst Notes</w:t>
            </w:r>
          </w:p>
        </w:tc>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Submit Escalation Request</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NestJS RBAC</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STATE-ESCAL</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Analyst clicks 'Escalate to Tier-2'</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Blue badge: 'Incident escalated to Tier-2 Supervisor Queue (Ref #ESC-881)'.</w:t>
            </w:r>
          </w:p>
        </w:tc>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Case Notes, Telemetry Snapshot</w:t>
            </w:r>
          </w:p>
        </w:tc>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Return to Queue, Print Receipt</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NestJS BFF</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STATE-SUCCESS</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Hold confirmed by Core Banking</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Green shield: '24h Precautionary Transaction Hold Activated. Audit #AUD-991.'</w:t>
            </w:r>
          </w:p>
        </w:tc>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Audit Reference Token</w:t>
            </w:r>
          </w:p>
        </w:tc>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Proceed to Next Incident</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MySQL / BFF</w:t>
            </w:r>
          </w:p>
        </w:tc>
      </w:tr>
    </w:tbl>
    <w:p>
      <w:pPr>
        <w:spacing w:before="40" w:after="120"/>
      </w:pPr>
    </w:p>
    <w:p>
      <w:r>
        <w:br w:type="page"/>
      </w:r>
    </w:p>
    <w:p>
      <w:pPr>
        <w:keepNext/>
        <w:spacing w:before="400" w:after="120"/>
      </w:pPr>
      <w:r>
        <w:rPr>
          <w:rFonts w:ascii="Calibri" w:hAnsi="Calibri"/>
          <w:b/>
          <w:color w:val="0F2434"/>
          <w:sz w:val="32"/>
        </w:rPr>
        <w:t>8. Trust, Evidence Display, Explainable AI (XAI) &amp; Human Oversight</w:t>
      </w:r>
    </w:p>
    <w:p>
      <w:pPr>
        <w:keepNext/>
        <w:spacing w:before="280" w:after="80"/>
      </w:pPr>
      <w:r>
        <w:rPr>
          <w:rFonts w:ascii="Calibri" w:hAnsi="Calibri"/>
          <w:b/>
          <w:color w:val="345063"/>
          <w:sz w:val="26"/>
        </w:rPr>
        <w:t>8.1 The Strict Ontological Separation of Trust Dimensions</w:t>
      </w:r>
    </w:p>
    <w:p>
      <w:r>
        <w:t>Artificial intelligence in high-risk banking operations is frequently undermined by opaque 'black-box' scoring models. SIMShield enforces strict ontological separation across four distinct dimensions of system truth:</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58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Trust Dimension</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Architectural Definition &amp; System Reality</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Prohibited False Impression</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SIMShield Implementation Pattern</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Evidence</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Verifiable, accessible source telemetry ingested from authorized systems (e.g., carrier IMSI change timestamp, cell tower coordinates).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Never imply that generated LLM text is factual evidence.</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Rendered in structured Evidence Cards displaying source carrier, raw timestamp, cryptographic hash, and audit link.</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Confidence Signal</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calibrated, statistical indicator of model certainty derived from feature weights and historical pattern matching.</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Never render decorative, unexplained dials or pseudo-probabilities.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Exposed as an Explainable Risk Breakdown (e.g., 'Risk Score: 94/100 | Weights: IMSI Delta = 45%, Geo-Velocity = 35%, Transfer Velocity = 14%').</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Limitation Notice</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Explicit disclosure of data freshness gaps, missing telemetry, or model boundary constraints.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Never present an incomplete analysis as an authoritative clearance.</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Displayed as an Amber Alert Box (e.g., 'Warning: Roaming partner carrier telemetry delayed by 42 minutes; confidence reduced by 15%').</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Human Escalation</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controlled, accountable workflow transfer to a designated human supervisor with legal liability.</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Never provide a dead-end 'Contact Admin' message.</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Structured modal capturing escalation justification, target SLA, and automatic assignment to Tier-2 Supervisor queue.</w:t>
            </w:r>
          </w:p>
        </w:tc>
      </w:tr>
    </w:tbl>
    <w:p>
      <w:pPr>
        <w:spacing w:before="40" w:after="120"/>
      </w:pPr>
    </w:p>
    <w:p>
      <w:pPr>
        <w:keepNext/>
        <w:spacing w:before="280" w:after="80"/>
      </w:pPr>
      <w:r>
        <w:rPr>
          <w:rFonts w:ascii="Calibri" w:hAnsi="Calibri"/>
          <w:b/>
          <w:color w:val="345063"/>
          <w:sz w:val="26"/>
        </w:rPr>
        <w:t>8.2 Explainable AI (XAI) UI Patterns vs Decorative Dials</w:t>
      </w:r>
    </w:p>
    <w:p>
      <w:r>
        <w:t>SIMShield firmly rejects arbitrary 'confidence wheels' or colored circles that lack operational meaning. Instead, the interface adopts Explainable AI (XAI) feature-attribution cards:</w:t>
      </w:r>
    </w:p>
    <w:p>
      <w:pPr>
        <w:pStyle w:val="ListBullet"/>
        <w:spacing w:after="60" w:line="276" w:lineRule="auto"/>
      </w:pPr>
      <w:r>
        <w:rPr>
          <w:b/>
          <w:color w:val="1E293B"/>
        </w:rPr>
        <w:t>Feature Importance Decomposition:</w:t>
      </w:r>
      <w:r>
        <w:rPr>
          <w:color w:val="1E293B"/>
        </w:rPr>
        <w:t xml:space="preserve"> Decomposes the composite 94/100 score into individual risk contributors: (a) Hardware IMSI Swap detected 18 minutes ago (+45 pts), (b) Out-of-profile wire transfer attempt to offshore beneficiary (+30 pts), (c) Geolocation delta between mobile device tower and web banking IP (+19 pts).</w:t>
      </w:r>
    </w:p>
    <w:p>
      <w:pPr>
        <w:pStyle w:val="ListBullet"/>
        <w:spacing w:after="60" w:line="276" w:lineRule="auto"/>
      </w:pPr>
      <w:r>
        <w:rPr>
          <w:b/>
          <w:color w:val="1E293B"/>
        </w:rPr>
        <w:t>Policy Rule Attribution:</w:t>
      </w:r>
      <w:r>
        <w:rPr>
          <w:color w:val="1E293B"/>
        </w:rPr>
        <w:t xml:space="preserve"> For every AI-flagged anomaly, the interface cites specific regulatory and internal policy thresholds (e.g., 'Triggered Policy SEC-ATO-402: Mandatory hold when SIM replacement occurs &lt; 2 hours prior to high-value wire').</w:t>
      </w:r>
    </w:p>
    <w:p>
      <w:pPr>
        <w:pStyle w:val="ListBullet"/>
        <w:spacing w:after="60" w:line="276" w:lineRule="auto"/>
      </w:pPr>
      <w:r>
        <w:rPr>
          <w:b/>
          <w:color w:val="1E293B"/>
        </w:rPr>
        <w:t>Forensic Attack Narrative:</w:t>
      </w:r>
      <w:r>
        <w:rPr>
          <w:color w:val="1E293B"/>
        </w:rPr>
        <w:t xml:space="preserve"> Natural language summary generated by FastAPI AI detailing the exact attack narrative in plain financial language, enabling analysts to brief bank executives within seconds.</w:t>
      </w:r>
    </w:p>
    <w:p>
      <w:pPr>
        <w:keepNext/>
        <w:spacing w:before="280" w:after="80"/>
      </w:pPr>
      <w:r>
        <w:rPr>
          <w:rFonts w:ascii="Calibri" w:hAnsi="Calibri"/>
          <w:b/>
          <w:color w:val="345063"/>
          <w:sz w:val="26"/>
        </w:rPr>
        <w:t>8.3 Data Privacy, PII Hygiene &amp; Secret Redaction</w:t>
      </w:r>
    </w:p>
    <w:p>
      <w:r>
        <w:t>Because SIMShield operates within regulated banking environments (complying with PCI-DSS, GLBA, and GDPR), client-side data exposure is rigorously managed:</w:t>
      </w:r>
    </w:p>
    <w:p>
      <w:pPr>
        <w:pStyle w:val="ListBullet"/>
        <w:spacing w:after="60" w:line="276" w:lineRule="auto"/>
      </w:pPr>
      <w:r>
        <w:rPr>
          <w:b/>
          <w:color w:val="1E293B"/>
        </w:rPr>
        <w:t>1. Telecommunication PII Masking:</w:t>
      </w:r>
      <w:r>
        <w:rPr>
          <w:color w:val="1E293B"/>
        </w:rPr>
        <w:t xml:space="preserve"> International Mobile Subscriber Identity (IMSI) numbers are masked by default (e.g., `310-410-******-9021`). Unmasking requires supervisory role privileges and logs an audit record.</w:t>
      </w:r>
    </w:p>
    <w:p>
      <w:pPr>
        <w:pStyle w:val="ListBullet"/>
        <w:spacing w:after="60" w:line="276" w:lineRule="auto"/>
      </w:pPr>
      <w:r>
        <w:rPr>
          <w:b/>
          <w:color w:val="1E293B"/>
        </w:rPr>
        <w:t>2. Banking PII Masking:</w:t>
      </w:r>
      <w:r>
        <w:rPr>
          <w:color w:val="1E293B"/>
        </w:rPr>
        <w:t xml:space="preserve"> Customer Bank Account Numbers and IBANs are truncated (e.g., `GB** **** **** **98 2140`).</w:t>
      </w:r>
    </w:p>
    <w:p>
      <w:pPr>
        <w:pStyle w:val="ListBullet"/>
        <w:spacing w:after="60" w:line="276" w:lineRule="auto"/>
      </w:pPr>
      <w:r>
        <w:rPr>
          <w:b/>
          <w:color w:val="1E293B"/>
        </w:rPr>
        <w:t>3. Zero Client Secrets:</w:t>
      </w:r>
      <w:r>
        <w:rPr>
          <w:color w:val="1E293B"/>
        </w:rPr>
        <w:t xml:space="preserve"> The Nuxt 3 client bundle is strictly audited to ensure zero database connection strings, JWT signing secrets, or private API keys exist in frontend code or state stores.</w:t>
      </w:r>
    </w:p>
    <w:p>
      <w:r>
        <w:br w:type="page"/>
      </w:r>
    </w:p>
    <w:p>
      <w:pPr>
        <w:keepNext/>
        <w:spacing w:before="400" w:after="120"/>
      </w:pPr>
      <w:r>
        <w:rPr>
          <w:rFonts w:ascii="Calibri" w:hAnsi="Calibri"/>
          <w:b/>
          <w:color w:val="0F2434"/>
          <w:sz w:val="32"/>
        </w:rPr>
        <w:t>9. Client-Side State Management &amp; Design System Architecture</w:t>
      </w:r>
    </w:p>
    <w:p>
      <w:pPr>
        <w:keepNext/>
        <w:spacing w:before="280" w:after="80"/>
      </w:pPr>
      <w:r>
        <w:rPr>
          <w:rFonts w:ascii="Calibri" w:hAnsi="Calibri"/>
          <w:b/>
          <w:color w:val="345063"/>
          <w:sz w:val="26"/>
        </w:rPr>
        <w:t>9.1 Modular Pinia Store Architecture</w:t>
      </w:r>
    </w:p>
    <w:p>
      <w:r>
        <w:t>SIMShield utilizes Pinia, the official Vue 3 state management framework, structured into four modular, decoupled stores: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2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Store Module</w:t>
            </w:r>
          </w:p>
        </w:tc>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File Location</w:t>
            </w:r>
          </w:p>
        </w:tc>
        <w:tc>
          <w:tcPr>
            <w:tcW w:type="dxa" w:w="302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Core Responsibilities</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Strict Architectural Boundaries</w:t>
            </w:r>
          </w:p>
        </w:tc>
      </w:tr>
      <w:tr>
        <w:trPr>
          <w:cantSplit/>
        </w:trPr>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Session Store</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`stores/session.ts`</w:t>
            </w:r>
          </w:p>
        </w:tc>
        <w:tc>
          <w:tcPr>
            <w:tcW w:type="dxa" w:w="302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Maintains active actor identity, selected role ('analyst' | 'supervisor'), authorized permissions, and token expiration.</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FORBIDDEN: Storing raw user passwords, secret keys, or client-authoritative security logic.</w:t>
            </w:r>
          </w:p>
        </w:tc>
      </w:tr>
      <w:tr>
        <w:trPr>
          <w:cantSplit/>
        </w:trPr>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Navigation Store</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`stores/navigation.ts`</w:t>
            </w:r>
          </w:p>
        </w:tc>
        <w:tc>
          <w:tcPr>
            <w:tcW w:type="dxa" w:w="302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Derives active menu destinations, breadcrumbs, unread alert counts, and drawer visibility based on active role.</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FORBIDDEN: Hardcoding bypasses for restricted routes.</w:t>
            </w:r>
          </w:p>
        </w:tc>
      </w:tr>
      <w:tr>
        <w:trPr>
          <w:cantSplit/>
        </w:trPr>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Cases Store</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`stores/cases.ts`</w:t>
            </w:r>
          </w:p>
        </w:tc>
        <w:tc>
          <w:tcPr>
            <w:tcW w:type="dxa" w:w="302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Manages triage queue, active incident selection, filter state, pagination, and optimistic transaction hold status.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FORBIDDEN: Direct database queries or unmediated REST calls to AI microservice.</w:t>
            </w:r>
          </w:p>
        </w:tc>
      </w:tr>
      <w:tr>
        <w:trPr>
          <w:cantSplit/>
        </w:trPr>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Evidence Store</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`stores/evidence.ts`</w:t>
            </w:r>
          </w:p>
        </w:tc>
        <w:tc>
          <w:tcPr>
            <w:tcW w:type="dxa" w:w="302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Holds raw carrier telemetry, old vs new SIM metadata, AI anomaly vectors, and limitation notices.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FORBIDDEN: Caching unmasked PII across session logouts.</w:t>
            </w:r>
          </w:p>
        </w:tc>
      </w:tr>
    </w:tbl>
    <w:p>
      <w:pPr>
        <w:spacing w:before="40" w:after="120"/>
      </w:pPr>
    </w:p>
    <w:p>
      <w:pPr>
        <w:keepNext/>
        <w:spacing w:before="280" w:after="80"/>
      </w:pPr>
      <w:r>
        <w:rPr>
          <w:rFonts w:ascii="Calibri" w:hAnsi="Calibri"/>
          <w:b/>
          <w:color w:val="345063"/>
          <w:sz w:val="26"/>
        </w:rPr>
        <w:t>9.2 Deterministic Mocking Protocol &amp; State Harness</w:t>
      </w:r>
    </w:p>
    <w:p>
      <w:r>
        <w:t>To satisfy the Green Lane requirement for reproducible testing without coupling Day 3 to unbuilt Day 4 backend persistence, SIMShield implements a deterministic mock harness:</w:t>
      </w:r>
    </w:p>
    <w:p>
      <w:r>
        <w:t>The `cases` store incorporates a development state harness (`stores/cases.ts`) capable of deterministically forcing any architectural state on demand:</w:t>
      </w:r>
    </w:p>
    <w:p>
      <w:pPr>
        <w:pStyle w:val="ListBullet"/>
        <w:spacing w:after="60" w:line="276" w:lineRule="auto"/>
      </w:pPr>
      <w:r>
        <w:rPr>
          <w:b/>
          <w:color w:val="1E293B"/>
        </w:rPr>
        <w:t>• `load('success')`:</w:t>
      </w:r>
      <w:r>
        <w:rPr>
          <w:color w:val="1E293B"/>
        </w:rPr>
        <w:t xml:space="preserve"> Loads 3 highly realistic, privacy-safe banking incidents demonstrating full telemetry diffs and explainable risk scores.</w:t>
      </w:r>
    </w:p>
    <w:p>
      <w:pPr>
        <w:pStyle w:val="ListBullet"/>
        <w:spacing w:after="60" w:line="276" w:lineRule="auto"/>
      </w:pPr>
      <w:r>
        <w:rPr>
          <w:b/>
          <w:color w:val="1E293B"/>
        </w:rPr>
        <w:t>• `load('empty')`:</w:t>
      </w:r>
      <w:r>
        <w:rPr>
          <w:color w:val="1E293B"/>
        </w:rPr>
        <w:t xml:space="preserve"> Simulates a zero-alert queue, testing empty-state messaging and refresh behavior.</w:t>
      </w:r>
    </w:p>
    <w:p>
      <w:pPr>
        <w:pStyle w:val="ListBullet"/>
        <w:spacing w:after="60" w:line="276" w:lineRule="auto"/>
      </w:pPr>
      <w:r>
        <w:rPr>
          <w:b/>
          <w:color w:val="1E293B"/>
        </w:rPr>
        <w:t>• `load('failure')`:</w:t>
      </w:r>
      <w:r>
        <w:rPr>
          <w:color w:val="1E293B"/>
        </w:rPr>
        <w:t xml:space="preserve"> Injects a simulated HTTP 504 Gateway Timeout, forcing the plain-language error banner and retry workflow.</w:t>
      </w:r>
    </w:p>
    <w:p>
      <w:pPr>
        <w:pStyle w:val="ListBullet"/>
        <w:spacing w:after="60" w:line="276" w:lineRule="auto"/>
      </w:pPr>
      <w:r>
        <w:rPr>
          <w:b/>
          <w:color w:val="1E293B"/>
        </w:rPr>
        <w:t>• `load('denied')`:</w:t>
      </w:r>
      <w:r>
        <w:rPr>
          <w:color w:val="1E293B"/>
        </w:rPr>
        <w:t xml:space="preserve"> Injects an HTTP 403 Forbidden payload, verifying supervisory boundary messaging.</w:t>
      </w:r>
    </w:p>
    <w:p>
      <w:pPr>
        <w:pStyle w:val="ListBullet"/>
        <w:spacing w:after="60" w:line="276" w:lineRule="auto"/>
      </w:pPr>
      <w:r>
        <w:rPr>
          <w:b/>
          <w:color w:val="1E293B"/>
        </w:rPr>
        <w:t>• `load('escalated')`:</w:t>
      </w:r>
      <w:r>
        <w:rPr>
          <w:color w:val="1E293B"/>
        </w:rPr>
        <w:t xml:space="preserve"> Simulates an active escalation handover, demonstrating read-only locking and case token generation.</w:t>
      </w:r>
    </w:p>
    <w:p>
      <w:pPr>
        <w:keepNext/>
        <w:spacing w:before="280" w:after="80"/>
      </w:pPr>
      <w:r>
        <w:rPr>
          <w:rFonts w:ascii="Calibri" w:hAnsi="Calibri"/>
          <w:b/>
          <w:color w:val="345063"/>
          <w:sz w:val="26"/>
        </w:rPr>
        <w:t>9.3 Shared Design System &amp; Token Architecture (`tokens.css`)</w:t>
      </w:r>
    </w:p>
    <w:p>
      <w:r>
        <w:t>SIMShield implements an accessible, dark-mode first design system engineered specifically for financial Security Operations Centers (SOC). The design tokens (`assets/css/tokens.css`) define strict ergonomic and accessibility constraints: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7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Token Category</w:t>
            </w:r>
          </w:p>
        </w:tc>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CSS Variable Name</w:t>
            </w:r>
          </w:p>
        </w:tc>
        <w:tc>
          <w:tcPr>
            <w:tcW w:type="dxa" w:w="172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Computed Value</w:t>
            </w:r>
          </w:p>
        </w:tc>
        <w:tc>
          <w:tcPr>
            <w:tcW w:type="dxa" w:w="374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Ergonomic &amp; Usability Rationale</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Surface 0 (Canvas)</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`--surface-0`</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`#08131f`</w:t>
            </w:r>
          </w:p>
        </w:tc>
        <w:tc>
          <w:tcPr>
            <w:tcW w:type="dxa" w:w="374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Deep Midnight Navy base canvas; minimizes eye strain during 12-hour analyst shifts.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Surface 1 (Panel)</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`--surface-1`</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`#0f2434`</w:t>
            </w:r>
          </w:p>
        </w:tc>
        <w:tc>
          <w:tcPr>
            <w:tcW w:type="dxa" w:w="374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Elevated dark slate container surface; provides clear visual grouping.</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Surface 2 (Card)</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`--surface-2`</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`#173449`</w:t>
            </w:r>
          </w:p>
        </w:tc>
        <w:tc>
          <w:tcPr>
            <w:tcW w:type="dxa" w:w="374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High-elevation card background for focused incident workspaces.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Text Primary</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`--text-1`</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`#f4f8fa`</w:t>
            </w:r>
          </w:p>
        </w:tc>
        <w:tc>
          <w:tcPr>
            <w:tcW w:type="dxa" w:w="374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Crisp cool white; delivers 14.8:1 contrast ratio against `--surface-0` (exceeds WCAG AAA).</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Text Muted</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`--text-2`</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`#b9c8d1`</w:t>
            </w:r>
          </w:p>
        </w:tc>
        <w:tc>
          <w:tcPr>
            <w:tcW w:type="dxa" w:w="374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Subdued slate blue; delivers 7.2:1 contrast ratio for secondary metadata.</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Border Subtle</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`--border`</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`#345063`</w:t>
            </w:r>
          </w:p>
        </w:tc>
        <w:tc>
          <w:tcPr>
            <w:tcW w:type="dxa" w:w="374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Low-contrast divider line; organizes dense financial tables without visual clutter.</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Brand Accent</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`--accent`</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`#24c7b5`</w:t>
            </w:r>
          </w:p>
        </w:tc>
        <w:tc>
          <w:tcPr>
            <w:tcW w:type="dxa" w:w="374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Vibrant cyber teal; highlights primary actions and active navigation items.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Focus Ring</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`--focus`</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`#ffd166`</w:t>
            </w:r>
          </w:p>
        </w:tc>
        <w:tc>
          <w:tcPr>
            <w:tcW w:type="dxa" w:w="374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Vivid amber outline (3px solid); ensures 100% keyboard focus visibility.</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Threat Critical</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`--danger`</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`#ff7b7b`</w:t>
            </w:r>
          </w:p>
        </w:tc>
        <w:tc>
          <w:tcPr>
            <w:tcW w:type="dxa" w:w="374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High-visibility coral red; alerts analysts to confirmed SIM-swap anomalies.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Threat Warning</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`--warning`</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`#f3b61f`</w:t>
            </w:r>
          </w:p>
        </w:tc>
        <w:tc>
          <w:tcPr>
            <w:tcW w:type="dxa" w:w="374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Warm amber; indicates pending supervisor escalations or stale telemetry.</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State Success</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`--success`</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`#6fd08c`</w:t>
            </w:r>
          </w:p>
        </w:tc>
        <w:tc>
          <w:tcPr>
            <w:tcW w:type="dxa" w:w="374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Emerald green; confirms completed transaction freezes and audit receipts.</w:t>
            </w:r>
          </w:p>
        </w:tc>
      </w:tr>
    </w:tbl>
    <w:p>
      <w:pPr>
        <w:spacing w:before="40" w:after="120"/>
      </w:pPr>
    </w:p>
    <w:p>
      <w:pPr>
        <w:keepNext/>
        <w:spacing w:before="280" w:after="80"/>
      </w:pPr>
      <w:r>
        <w:rPr>
          <w:rFonts w:ascii="Calibri" w:hAnsi="Calibri"/>
          <w:b/>
          <w:color w:val="345063"/>
          <w:sz w:val="26"/>
        </w:rPr>
        <w:t>9.4 Semantic Component Hierarchy</w:t>
      </w:r>
    </w:p>
    <w:p>
      <w:r>
        <w:t>The frontend architecture enforces strict component modularity across six reusable building blocks:</w:t>
      </w:r>
    </w:p>
    <w:p>
      <w:pPr>
        <w:pStyle w:val="ListBullet"/>
        <w:spacing w:after="60" w:line="276" w:lineRule="auto"/>
      </w:pPr>
      <w:r>
        <w:rPr>
          <w:b/>
          <w:color w:val="1E293B"/>
        </w:rPr>
        <w:t>1. `AppShell.vue`:</w:t>
      </w:r>
      <w:r>
        <w:rPr>
          <w:color w:val="1E293B"/>
        </w:rPr>
        <w:t xml:space="preserve"> Encapsulates global header, role switcher, primary navigation rail, and main scrollable content area.</w:t>
      </w:r>
    </w:p>
    <w:p>
      <w:pPr>
        <w:pStyle w:val="ListBullet"/>
        <w:spacing w:after="60" w:line="276" w:lineRule="auto"/>
      </w:pPr>
      <w:r>
        <w:rPr>
          <w:b/>
          <w:color w:val="1E293B"/>
        </w:rPr>
        <w:t>2. `StateNotice.vue`:</w:t>
      </w:r>
      <w:r>
        <w:rPr>
          <w:color w:val="1E293B"/>
        </w:rPr>
        <w:t xml:space="preserve"> Polymorphic notification banner rendering loading skeletons, empty prompts, error retries, and access-denied warnings.</w:t>
      </w:r>
    </w:p>
    <w:p>
      <w:pPr>
        <w:pStyle w:val="ListBullet"/>
        <w:spacing w:after="60" w:line="276" w:lineRule="auto"/>
      </w:pPr>
      <w:r>
        <w:rPr>
          <w:b/>
          <w:color w:val="1E293B"/>
        </w:rPr>
        <w:t>3. `EvidenceCard.vue`:</w:t>
      </w:r>
      <w:r>
        <w:rPr>
          <w:color w:val="1E293B"/>
        </w:rPr>
        <w:t xml:space="preserve"> Displays side-by-side telecom telemetry deltas, carrier provenance badges, and cryptographic integrity tokens.</w:t>
      </w:r>
    </w:p>
    <w:p>
      <w:pPr>
        <w:pStyle w:val="ListBullet"/>
        <w:spacing w:after="60" w:line="276" w:lineRule="auto"/>
      </w:pPr>
      <w:r>
        <w:rPr>
          <w:b/>
          <w:color w:val="1E293B"/>
        </w:rPr>
        <w:t>4. `StatusBadge.vue`:</w:t>
      </w:r>
      <w:r>
        <w:rPr>
          <w:color w:val="1E293B"/>
        </w:rPr>
        <w:t xml:space="preserve"> High-contrast pill badge displaying threat tier (`CRITICAL`, `WARNING`, `SAFE`) and incident lifecycle status.</w:t>
      </w:r>
    </w:p>
    <w:p>
      <w:pPr>
        <w:pStyle w:val="ListBullet"/>
        <w:spacing w:after="60" w:line="276" w:lineRule="auto"/>
      </w:pPr>
      <w:r>
        <w:rPr>
          <w:b/>
          <w:color w:val="1E293B"/>
        </w:rPr>
        <w:t>5. `RiskScoreMeter.vue`:</w:t>
      </w:r>
      <w:r>
        <w:rPr>
          <w:color w:val="1E293B"/>
        </w:rPr>
        <w:t xml:space="preserve"> Visual risk bar rendering the 0-100 anomaly index alongside XAI feature-importance breakdown.</w:t>
      </w:r>
    </w:p>
    <w:p>
      <w:pPr>
        <w:pStyle w:val="ListBullet"/>
        <w:spacing w:after="60" w:line="276" w:lineRule="auto"/>
      </w:pPr>
      <w:r>
        <w:rPr>
          <w:b/>
          <w:color w:val="1E293B"/>
        </w:rPr>
        <w:t>6. `ActionDialog.vue`:</w:t>
      </w:r>
      <w:r>
        <w:rPr>
          <w:color w:val="1E293B"/>
        </w:rPr>
        <w:t xml:space="preserve"> Accessible modal dialog with focus traps for confirming transaction holds and capturing supervisor escalation notes.</w:t>
      </w:r>
    </w:p>
    <w:p>
      <w:r>
        <w:br w:type="page"/>
      </w:r>
    </w:p>
    <w:p>
      <w:pPr>
        <w:keepNext/>
        <w:spacing w:before="400" w:after="120"/>
      </w:pPr>
      <w:r>
        <w:rPr>
          <w:rFonts w:ascii="Calibri" w:hAnsi="Calibri"/>
          <w:b/>
          <w:color w:val="0F2434"/>
          <w:sz w:val="32"/>
        </w:rPr>
        <w:t>10. Progressive UI Architecture &amp; Interface-Derived Backend Contract Backlog</w:t>
      </w:r>
    </w:p>
    <w:p>
      <w:pPr>
        <w:keepNext/>
        <w:spacing w:before="280" w:after="80"/>
      </w:pPr>
      <w:r>
        <w:rPr>
          <w:rFonts w:ascii="Calibri" w:hAnsi="Calibri"/>
          <w:b/>
          <w:color w:val="345063"/>
          <w:sz w:val="26"/>
        </w:rPr>
        <w:t>10.1 UI-First Contract Derivation Methodology</w:t>
      </w:r>
    </w:p>
    <w:p>
      <w:r>
        <w:t>In traditional waterfall or backend-first workflows, API endpoints are designed based on abstract database entities, frequently resulting in mismatch, over-fetching, and multiple network roundtrips on the frontend. Under the Day 3 UI-first methodology, every backend contract is directly derived from a visible user need. By analyzing what data must be rendered, what filters must be applied, what mutations occur on button click, and what errors must be displayed, the interface establishes the exact schema requirements for Day 4 persistence and Day 16 integration.</w:t>
      </w:r>
    </w:p>
    <w:p>
      <w:pPr>
        <w:keepNext/>
        <w:spacing w:before="280" w:after="80"/>
      </w:pPr>
      <w:r>
        <w:rPr>
          <w:rFonts w:ascii="Calibri" w:hAnsi="Calibri"/>
          <w:b/>
          <w:color w:val="345063"/>
          <w:sz w:val="26"/>
        </w:rPr>
        <w:t>10.2 Data Nature Classification Framework</w:t>
      </w:r>
    </w:p>
    <w:p>
      <w:r>
        <w:t>Every discovered backend contract is classified into one of six distinct data natures, dictating its caching, persistence, and consistency model:</w:t>
      </w:r>
    </w:p>
    <w:p>
      <w:pPr>
        <w:pStyle w:val="ListBullet"/>
        <w:spacing w:after="60" w:line="276" w:lineRule="auto"/>
      </w:pPr>
      <w:r>
        <w:rPr>
          <w:b/>
          <w:color w:val="1E293B"/>
        </w:rPr>
        <w:t>• Persisted:</w:t>
      </w:r>
      <w:r>
        <w:rPr>
          <w:color w:val="1E293B"/>
        </w:rPr>
        <w:t xml:space="preserve"> Stored immutably or transactionally in MySQL 8.0 via Prisma ORM (e.g., audit trails, account freeze states).</w:t>
      </w:r>
    </w:p>
    <w:p>
      <w:pPr>
        <w:pStyle w:val="ListBullet"/>
        <w:spacing w:after="60" w:line="276" w:lineRule="auto"/>
      </w:pPr>
      <w:r>
        <w:rPr>
          <w:b/>
          <w:color w:val="1E293B"/>
        </w:rPr>
        <w:t>• Derived:</w:t>
      </w:r>
      <w:r>
        <w:rPr>
          <w:color w:val="1E293B"/>
        </w:rPr>
        <w:t xml:space="preserve"> Computed dynamically in real-time by the NestJS BFF business logic layer (e.g., active SLA countdowns, priority rankings).</w:t>
      </w:r>
    </w:p>
    <w:p>
      <w:pPr>
        <w:pStyle w:val="ListBullet"/>
        <w:spacing w:after="60" w:line="276" w:lineRule="auto"/>
      </w:pPr>
      <w:r>
        <w:rPr>
          <w:b/>
          <w:color w:val="1E293B"/>
        </w:rPr>
        <w:t>• Retrieved:</w:t>
      </w:r>
      <w:r>
        <w:rPr>
          <w:color w:val="1E293B"/>
        </w:rPr>
        <w:t xml:space="preserve"> Queried via dense/sparse semantic vector search in Weaviate (e.g., historical SIM-swap fraud tactics).</w:t>
      </w:r>
    </w:p>
    <w:p>
      <w:pPr>
        <w:pStyle w:val="ListBullet"/>
        <w:spacing w:after="60" w:line="276" w:lineRule="auto"/>
      </w:pPr>
      <w:r>
        <w:rPr>
          <w:b/>
          <w:color w:val="1E293B"/>
        </w:rPr>
        <w:t>• Generated:</w:t>
      </w:r>
      <w:r>
        <w:rPr>
          <w:color w:val="1E293B"/>
        </w:rPr>
        <w:t xml:space="preserve"> Produced dynamically by AI models in FastAPI (e.g., anomaly scores, plain-language attack narratives).</w:t>
      </w:r>
    </w:p>
    <w:p>
      <w:pPr>
        <w:pStyle w:val="ListBullet"/>
        <w:spacing w:after="60" w:line="276" w:lineRule="auto"/>
      </w:pPr>
      <w:r>
        <w:rPr>
          <w:b/>
          <w:color w:val="1E293B"/>
        </w:rPr>
        <w:t>• Real-Time:</w:t>
      </w:r>
      <w:r>
        <w:rPr>
          <w:color w:val="1E293B"/>
        </w:rPr>
        <w:t xml:space="preserve"> Streamed via low-latency WebSockets / Socket.IO (e.g., incoming carrier webhook alert broadcasts).</w:t>
      </w:r>
    </w:p>
    <w:p>
      <w:pPr>
        <w:pStyle w:val="ListBullet"/>
        <w:spacing w:after="60" w:line="276" w:lineRule="auto"/>
      </w:pPr>
      <w:r>
        <w:rPr>
          <w:b/>
          <w:color w:val="1E293B"/>
        </w:rPr>
        <w:t>• Ephemeral:</w:t>
      </w:r>
      <w:r>
        <w:rPr>
          <w:color w:val="1E293B"/>
        </w:rPr>
        <w:t xml:space="preserve"> Maintained strictly in client memory; discarded on session close (e.g., active filter drawers, form draft text).</w:t>
      </w:r>
    </w:p>
    <w:p>
      <w:pPr>
        <w:keepNext/>
        <w:spacing w:before="280" w:after="80"/>
      </w:pPr>
      <w:r>
        <w:rPr>
          <w:rFonts w:ascii="Calibri" w:hAnsi="Calibri"/>
          <w:b/>
          <w:color w:val="345063"/>
          <w:sz w:val="26"/>
        </w:rPr>
        <w:t>10.3 Top 10 Prioritized Backend Contract Specifications</w:t>
      </w:r>
    </w:p>
    <w:p>
      <w:r>
        <w:t>The following ten contracts represent the prioritized integration backlog derived from the Day 3 SIMShield interface: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bottom w:val="none"/>
              <w:left w:val="single" w:sz="36" w:space="0" w:color="0F2434"/>
              <w:right w:val="none"/>
            </w:tcBorders>
          </w:tcPr>
          <w:p>
            <w:pPr>
              <w:spacing w:after="40" w:line="276" w:lineRule="auto"/>
            </w:pPr>
            <w:r>
              <w:rPr>
                <w:b/>
                <w:color w:val="0F2434"/>
                <w:sz w:val="20"/>
              </w:rPr>
              <w:t>[NOTE] UI-CTR-001: Ingest Telecom SIM-Swap Event Webhook</w:t>
              <w:br/>
            </w:r>
            <w:r>
              <w:rPr>
                <w:color w:val="1E293B"/>
                <w:sz w:val="19"/>
              </w:rPr>
              <w:t>• Target View: System Gateway / Analyst Alert Queue</w:t>
              <w:br/>
              <w:t>• Visible User Need: Automated real-time creation of an anomaly incident upon carrier SIM replacement.</w:t>
              <w:br/>
              <w:t>• Owning Service: NestJS BFF (:3001) / MySQL 8.0 (:3307)</w:t>
              <w:br/>
              <w:t>• Proposed Interface: POST /api/v1/telecom/webhooks/sim-swap</w:t>
              <w:br/>
              <w:t>• Request Payload: { carrierId: string, msisdn: string, oldImsi: string, newImsi: string, timestamp: ISO8601, cellTowerId: string }</w:t>
              <w:br/>
              <w:t>• Response Schema: { success: boolean, incidentId: string, queuedAt: ISO8601, threatLevel: 'EVALUATING' }</w:t>
              <w:br/>
              <w:t>• Auth / RBAC Rule: Mutual TLS + Carrier Webhook HMAC-SHA256 Signature Verification.</w:t>
              <w:br/>
              <w:t>• Data Nature: Real-Time / Persisted</w:t>
              <w:br/>
              <w:t>• Target Day: Day 4 (Persistence) &amp; Day 16 (Live Ingestion)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bottom w:val="none"/>
              <w:left w:val="single" w:sz="36" w:space="0" w:color="0F2434"/>
              <w:right w:val="none"/>
            </w:tcBorders>
          </w:tcPr>
          <w:p>
            <w:pPr>
              <w:spacing w:after="40" w:line="276" w:lineRule="auto"/>
            </w:pPr>
            <w:r>
              <w:rPr>
                <w:b/>
                <w:color w:val="0F2434"/>
                <w:sz w:val="20"/>
              </w:rPr>
              <w:t>[NOTE] UI-CTR-002: Fetch Analyst Prioritized Alert Queue</w:t>
              <w:br/>
            </w:r>
            <w:r>
              <w:rPr>
                <w:color w:val="1E293B"/>
                <w:sz w:val="19"/>
              </w:rPr>
              <w:t>• Target View: Tier-1 Analyst Queue (/analyst/queue)</w:t>
              <w:br/>
              <w:t>• Visible User Need: Display sorted, filtered list of pending SIM-swap alerts with threat badges.</w:t>
              <w:br/>
              <w:t>• Owning Service: NestJS BFF (:3001) / MySQL 8.0 (:3307)</w:t>
              <w:br/>
              <w:t>• Proposed Interface: GET /api/v1/incidents?status=PENDING&amp;sort=threatScore:desc&amp;page=1&amp;limit=25</w:t>
              <w:br/>
              <w:t>• Response Schema: { incidents: Array&lt;{ id: string, customerName: string, accountMasked: string, threatScore: number, carrier: string, timeToSLA: number }&gt;, total: number }</w:t>
              <w:br/>
              <w:t>• Auth / RBAC Rule: JWT Guard; Role: 'ANALYST' or 'SUPERVISOR'. Tenant scoped.</w:t>
              <w:br/>
              <w:t>• Data Nature: Persisted / Derived</w:t>
              <w:br/>
              <w:t>• Target Day: Day 4 (Prisma Entities &amp; NestJS Controller)</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bottom w:val="none"/>
              <w:left w:val="single" w:sz="36" w:space="0" w:color="0F2434"/>
              <w:right w:val="none"/>
            </w:tcBorders>
          </w:tcPr>
          <w:p>
            <w:pPr>
              <w:spacing w:after="40" w:line="276" w:lineRule="auto"/>
            </w:pPr>
            <w:r>
              <w:rPr>
                <w:b/>
                <w:color w:val="0F2434"/>
                <w:sz w:val="20"/>
              </w:rPr>
              <w:t>[NOTE] UI-CTR-003: Retrieve Forensic Incident Telemetry Diff</w:t>
              <w:br/>
            </w:r>
            <w:r>
              <w:rPr>
                <w:color w:val="1E293B"/>
                <w:sz w:val="19"/>
              </w:rPr>
              <w:t>• Target View: Forensic Incident Detail (/analyst/cases/:id)</w:t>
              <w:br/>
              <w:t>• Visible User Need: Side-by-side comparison of historical SIM/device metadata vs. new replacement data.</w:t>
              <w:br/>
              <w:t>• Owning Service: NestJS BFF (:3001) / MySQL 8.0 (:3307)</w:t>
              <w:br/>
              <w:t>• Proposed Interface: GET /api/v1/incidents/:id/telemetry-diff</w:t>
              <w:br/>
              <w:t>• Response Schema: { incidentId: string, oldDevice: { imsiMasked: string, imei: string, lastTower: string }, newDevice: { imsiMasked: string, imei: string, currentTower: string }, geoVelocityMph: number, timeDeltaMinutes: number }</w:t>
              <w:br/>
              <w:t>• Auth / RBAC Rule: JWT Guard; Role: 'ANALYST' or 'SUPERVISOR'.</w:t>
              <w:br/>
              <w:t>• Data Nature: Persisted / Retrieved</w:t>
              <w:br/>
              <w:t>• Target Day: Day 4 (Prisma Schema) &amp; Day 5 (Corpus Ingestion)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bottom w:val="none"/>
              <w:left w:val="single" w:sz="36" w:space="0" w:color="0F2434"/>
              <w:right w:val="none"/>
            </w:tcBorders>
          </w:tcPr>
          <w:p>
            <w:pPr>
              <w:spacing w:after="40" w:line="276" w:lineRule="auto"/>
            </w:pPr>
            <w:r>
              <w:rPr>
                <w:b/>
                <w:color w:val="0F2434"/>
                <w:sz w:val="20"/>
              </w:rPr>
              <w:t>[NOTE] UI-CTR-004: Request AI Anomaly Risk Vector &amp; Narrative</w:t>
              <w:br/>
            </w:r>
            <w:r>
              <w:rPr>
                <w:color w:val="1E293B"/>
                <w:sz w:val="19"/>
              </w:rPr>
              <w:t>• Target View: Risk Meter &amp; Forensic Narrative Panel</w:t>
              <w:br/>
              <w:t>• Visible User Need: Calculated anomaly score (0-100), feature weight breakdown, and plain-language attack summary.</w:t>
              <w:br/>
              <w:t>• Owning Service: FastAPI AI Microservice (:8000) proxied via NestJS BFF (:3001)</w:t>
              <w:br/>
              <w:t>• Proposed Interface: POST /api/v1/ai/score-anomaly</w:t>
              <w:br/>
              <w:t>• Request Payload: { incidentId: string, geoVelocityMph: number, timeDeltaMinutes: number, pendingTxAmount: number }</w:t>
              <w:br/>
              <w:t>• Response Schema: { anomalyScore: number, confidence: number, featureWeights: { imsiDelta: number, geoVelocity: number, txVelocity: number }, narrative: string, limitationNotice: string | null }</w:t>
              <w:br/>
              <w:t>• Auth / RBAC Rule: Internal Service Secret (BFF to FastAPI). No direct public access.</w:t>
              <w:br/>
              <w:t>• Data Nature: Generated (AI Inference)</w:t>
              <w:br/>
              <w:t>• Target Day: Day 8 (FastAPI Baseline) &amp; Day 11 (Tuned Scoring)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bottom w:val="none"/>
              <w:left w:val="single" w:sz="36" w:space="0" w:color="0F2434"/>
              <w:right w:val="none"/>
            </w:tcBorders>
          </w:tcPr>
          <w:p>
            <w:pPr>
              <w:spacing w:after="40" w:line="276" w:lineRule="auto"/>
            </w:pPr>
            <w:r>
              <w:rPr>
                <w:b/>
                <w:color w:val="0F2434"/>
                <w:sz w:val="20"/>
              </w:rPr>
              <w:t>[NOTE] UI-CTR-005: Enforce Precautionary Transaction Hold</w:t>
              <w:br/>
            </w:r>
            <w:r>
              <w:rPr>
                <w:color w:val="1E293B"/>
                <w:sz w:val="19"/>
              </w:rPr>
              <w:t>• Target View: Incident Action Bar / Hold Modal</w:t>
              <w:br/>
              <w:t>• Visible User Need: Freeze pending transactions and restrict online banking access for 24 hours.</w:t>
              <w:br/>
              <w:t>• Owning Service: NestJS BFF (:3001) / MySQL 8.0 (:3307) / Core Banking Mock</w:t>
              <w:br/>
              <w:t>• Proposed Interface: POST /api/v1/incidents/:id/actions/hold</w:t>
              <w:br/>
              <w:t>• Request Payload: { incidentId: string, durationHours: 24, rationale: string, analystPin: string }</w:t>
              <w:br/>
              <w:t>• Response Schema: { success: boolean, holdReference: string, accountStatus: 'FROZEN_PRECAUTIONARY', auditToken: string, expiresAt: ISO8601 }</w:t>
              <w:br/>
              <w:t>• Auth / RBAC Rule: JWT Guard; Role: 'ANALYST'. Idempotency key required in header.</w:t>
              <w:br/>
              <w:t>• Data Nature: Persisted / Transactional</w:t>
              <w:br/>
              <w:t>• Target Day: Day 4 (Prisma Mutations) &amp; Day 16 (Core Banking Hook)</w:t>
            </w:r>
          </w:p>
        </w:tc>
      </w:tr>
    </w:tbl>
    <w:p>
      <w:pPr>
        <w:spacing w:before="0" w:after="80"/>
      </w:pPr>
    </w:p>
    <w:p>
      <w:pPr>
        <w:keepNext/>
        <w:spacing w:before="200" w:after="40"/>
      </w:pPr>
      <w:r>
        <w:rPr>
          <w:rFonts w:ascii="Calibri" w:hAnsi="Calibri"/>
          <w:b/>
          <w:color w:val="0E7490"/>
          <w:sz w:val="22"/>
        </w:rPr>
        <w:t>Contracts 6 through 10 Specifications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44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Contract ID</w:t>
            </w:r>
          </w:p>
        </w:tc>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Target View &amp; Action</w:t>
            </w:r>
          </w:p>
        </w:tc>
        <w:tc>
          <w:tcPr>
            <w:tcW w:type="dxa" w:w="216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Owning Service &amp; Interface</w:t>
            </w:r>
          </w:p>
        </w:tc>
        <w:tc>
          <w:tcPr>
            <w:tcW w:type="dxa" w:w="230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Payload / Return Summary</w:t>
            </w:r>
          </w:p>
        </w:tc>
        <w:tc>
          <w:tcPr>
            <w:tcW w:type="dxa" w:w="144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Auth &amp; Target Day</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UI-CTR-006</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Escalate Incident to Tier-2 Queue</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NestJS BFF (:3001)</w:t>
              <w:br/>
              <w:t>`POST /incidents/:id/escalate`</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Req: `{ reason: string, priority: 'HIGH' }`</w:t>
              <w:br/>
              <w:t>Res: `{ escalationId: string, status: 'ESCALATED' }`</w:t>
            </w:r>
          </w:p>
        </w:tc>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Role: 'ANALYST'</w:t>
              <w:br/>
              <w:t>Day 4 (Workflow)</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UI-CTR-007</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Fetch Supervisor Escalation Queue</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NestJS BFF (:3001)</w:t>
              <w:br/>
              <w:t>`GET /supervisor/queue`</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Res: Array of escalated incidents with analyst notes, SLA timers, and risk delta.</w:t>
            </w:r>
          </w:p>
        </w:tc>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Role: 'SUPERVISOR'</w:t>
              <w:br/>
              <w:t>Day 4 (Queue Schema)</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UI-CTR-008</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Supervisor Dual-Control Override</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NestJS BFF (:3001)</w:t>
              <w:br/>
              <w:t>`POST /incidents/:id/override`</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Req: `{ action: 'PERMANENT_BLOCK' | 'DISMISS', rationale: string, supervisorAuth: string }`</w:t>
              <w:br/>
              <w:t>Res: `{ auditToken: string }`</w:t>
            </w:r>
          </w:p>
        </w:tc>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Role: 'SUPERVISOR' (Strict)</w:t>
              <w:br/>
              <w:t>Day 4 &amp; Day 17</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UI-CTR-009</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Query Historical Fraud Patterns</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Weaviate (:8080) via BFF</w:t>
              <w:br/>
              <w:t>`POST /api/v1/rag/patterns`</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Req: `{ queryVector: number[], threshold: 0.85 }`</w:t>
              <w:br/>
              <w:t>Res: Top 3 historical attack vectors with citations.</w:t>
            </w:r>
          </w:p>
        </w:tc>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Role: 'ANALYST' / 'SUP'</w:t>
              <w:br/>
              <w:t>Day 12 &amp; Day 15 (RAG)</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UI-CTR-010</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Stream Real-Time Anomaly Alerts</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NestJS Socket.IO Gateway</w:t>
              <w:br/>
              <w:t>`WS /ws/alerts`</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Event: `alert:new` → `{ id, customerName, threatScore, carrier, timestamp }`</w:t>
            </w:r>
          </w:p>
        </w:tc>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Authenticated WS Handshake</w:t>
              <w:br/>
              <w:t>Day 17 (WebSockets)</w:t>
            </w:r>
          </w:p>
        </w:tc>
      </w:tr>
    </w:tbl>
    <w:p>
      <w:pPr>
        <w:spacing w:before="40" w:after="120"/>
      </w:pPr>
    </w:p>
    <w:p>
      <w:r>
        <w:br w:type="page"/>
      </w:r>
    </w:p>
    <w:p>
      <w:pPr>
        <w:keepNext/>
        <w:spacing w:before="400" w:after="120"/>
      </w:pPr>
      <w:r>
        <w:rPr>
          <w:rFonts w:ascii="Calibri" w:hAnsi="Calibri"/>
          <w:b/>
          <w:color w:val="0F2434"/>
          <w:sz w:val="32"/>
        </w:rPr>
        <w:t>11. Usability, Accessibility &amp; Technical Quality Verification Architecture</w:t>
      </w:r>
    </w:p>
    <w:p>
      <w:pPr>
        <w:keepNext/>
        <w:spacing w:before="280" w:after="80"/>
      </w:pPr>
      <w:r>
        <w:rPr>
          <w:rFonts w:ascii="Calibri" w:hAnsi="Calibri"/>
          <w:b/>
          <w:color w:val="345063"/>
          <w:sz w:val="26"/>
        </w:rPr>
        <w:t>11.1 WCAG 2.1 AA Compliance Framework for Financial Operations</w:t>
      </w:r>
    </w:p>
    <w:p>
      <w:r>
        <w:t>In high-stress banking cybersecurity environments, accessibility is not merely a legal compliance checkbox—it is an operational necessity. An analyst navigating dozens of high-severity alerts cannot suffer from ambiguous focus states, unannounced asynchronous updates, or illegible color contrast.</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2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Accessibility Criterion</w:t>
            </w:r>
          </w:p>
        </w:tc>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WCAG 2.1 AA Requirement</w:t>
            </w:r>
          </w:p>
        </w:tc>
        <w:tc>
          <w:tcPr>
            <w:tcW w:type="dxa" w:w="331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SIMShield Implementation Architecture</w:t>
            </w:r>
          </w:p>
        </w:tc>
        <w:tc>
          <w:tcPr>
            <w:tcW w:type="dxa" w:w="230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Verification Method &amp; Result</w:t>
            </w:r>
          </w:p>
        </w:tc>
      </w:tr>
      <w:tr>
        <w:trPr>
          <w:cantSplit/>
        </w:trPr>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Keyboard Navigability</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All interactive elements reachable and operable via Tab, Shift+Tab, Enter, Space, Escape.</w:t>
            </w:r>
          </w:p>
        </w:tc>
        <w:tc>
          <w:tcPr>
            <w:tcW w:type="dxa" w:w="331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Logical tabindex ordering across triage queue, detail drawer, and action buttons. Modal dialogs enforce strict focus trapping.</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 100% of primary and oversight journeys completed without mouse interaction.</w:t>
            </w:r>
          </w:p>
        </w:tc>
      </w:tr>
      <w:tr>
        <w:trPr>
          <w:cantSplit/>
        </w:trPr>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Focus Visibility</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clearly visible focus indicator separates the active element from surrounding UI.</w:t>
            </w:r>
          </w:p>
        </w:tc>
        <w:tc>
          <w:tcPr>
            <w:tcW w:type="dxa" w:w="331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High-contrast 3px solid amber outline (`:focus-visible { outline: 3px solid var(--focus); outline-offset: 3px; }`).</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 Focus indicator verified against dark navy surfaces across all interactive controls.</w:t>
            </w:r>
          </w:p>
        </w:tc>
      </w:tr>
      <w:tr>
        <w:trPr>
          <w:cantSplit/>
        </w:trPr>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Color Contrast</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Minimum 4.5:1 for body text; 3.0:1 for large text and UI components.</w:t>
            </w:r>
          </w:p>
        </w:tc>
        <w:tc>
          <w:tcPr>
            <w:tcW w:type="dxa" w:w="331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Primary text (`#f4f8fa`) against surface (`#08131f`) yields 14.8:1. Accent teal (`#24c7b5`) yields 8.1:1. Border divider yields 4.6:1.</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 Automated contrast audit confirms zero contrast violations.</w:t>
            </w:r>
          </w:p>
        </w:tc>
      </w:tr>
      <w:tr>
        <w:trPr>
          <w:cantSplit/>
        </w:trPr>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Non-Color Meaning</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Information conveyed by color must also be available through text or shape.</w:t>
            </w:r>
          </w:p>
        </w:tc>
        <w:tc>
          <w:tcPr>
            <w:tcW w:type="dxa" w:w="331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Threat badges combine color with explicit text labels (`CRITICAL`, `WARNING`, `SAFE`) and geometric SVG icons.</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 Interface verified in simulated grayscale mode; all threat levels distinguishable.</w:t>
            </w:r>
          </w:p>
        </w:tc>
      </w:tr>
      <w:tr>
        <w:trPr>
          <w:cantSplit/>
        </w:trPr>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Asynchronous Alerts</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Dynamic content changes announced to assistive tech without screen disruption.</w:t>
            </w:r>
          </w:p>
        </w:tc>
        <w:tc>
          <w:tcPr>
            <w:tcW w:type="dxa" w:w="331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Nuxt 3 implements `aria-live="polite"` regions for inbound alert updates and `aria-live="assertive"` for system errors.</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 Live region announcements validated via automated DOM accessibility testing.</w:t>
            </w:r>
          </w:p>
        </w:tc>
      </w:tr>
    </w:tbl>
    <w:p>
      <w:pPr>
        <w:spacing w:before="40" w:after="120"/>
      </w:pPr>
    </w:p>
    <w:p>
      <w:pPr>
        <w:keepNext/>
        <w:spacing w:before="280" w:after="80"/>
      </w:pPr>
      <w:r>
        <w:rPr>
          <w:rFonts w:ascii="Calibri" w:hAnsi="Calibri"/>
          <w:b/>
          <w:color w:val="345063"/>
          <w:sz w:val="26"/>
        </w:rPr>
        <w:t>11.2 Responsive Layout Adaptability &amp; Touch Ergonomics</w:t>
      </w:r>
    </w:p>
    <w:p>
      <w:r>
        <w:t>To accommodate diverse financial workstations—ranging from multi-monitor SOC command desks to tablet-equipped on-call supervisors—SIMShield enforces strict responsive reflow:</w:t>
      </w:r>
    </w:p>
    <w:p>
      <w:pPr>
        <w:pStyle w:val="ListBullet"/>
        <w:spacing w:after="60" w:line="276" w:lineRule="auto"/>
      </w:pPr>
      <w:r>
        <w:rPr>
          <w:b/>
          <w:color w:val="1E293B"/>
        </w:rPr>
        <w:t>• Desktop Viewport (≥ 1440px):</w:t>
      </w:r>
      <w:r>
        <w:rPr>
          <w:color w:val="1E293B"/>
        </w:rPr>
        <w:t xml:space="preserve"> Multi-column triage workspace. Persistent left navigation rail (17rem), central incident queue (28rem), and expansive forensic evidence workbench (remaining space).</w:t>
      </w:r>
    </w:p>
    <w:p>
      <w:pPr>
        <w:pStyle w:val="ListBullet"/>
        <w:spacing w:after="60" w:line="276" w:lineRule="auto"/>
      </w:pPr>
      <w:r>
        <w:rPr>
          <w:b/>
          <w:color w:val="1E293B"/>
        </w:rPr>
        <w:t>• Tablet Viewport (768px – 1024px):</w:t>
      </w:r>
      <w:r>
        <w:rPr>
          <w:color w:val="1E293B"/>
        </w:rPr>
        <w:t xml:space="preserve"> Dual-column layout. Navigation collapses to an icon sidebar; forensic evidence workbench collapses into a sliding drawer.</w:t>
      </w:r>
    </w:p>
    <w:p>
      <w:pPr>
        <w:pStyle w:val="ListBullet"/>
        <w:spacing w:after="60" w:line="276" w:lineRule="auto"/>
      </w:pPr>
      <w:r>
        <w:rPr>
          <w:b/>
          <w:color w:val="1E293B"/>
        </w:rPr>
        <w:t>• Mobile Viewport (≤ 480px):</w:t>
      </w:r>
      <w:r>
        <w:rPr>
          <w:color w:val="1E293B"/>
        </w:rPr>
        <w:t xml:space="preserve"> Single-column focused flow (`@media (max-width: 48rem)`). The app-shell reflows to a single column; secondary inspection panels are hidden behind clear toggle buttons; touch targets maintain a minimum of 44x44 CSS pixels.</w:t>
      </w:r>
    </w:p>
    <w:p>
      <w:pPr>
        <w:pStyle w:val="ListBullet"/>
        <w:spacing w:after="60" w:line="276" w:lineRule="auto"/>
      </w:pPr>
      <w:r>
        <w:rPr>
          <w:b/>
          <w:color w:val="1E293B"/>
        </w:rPr>
        <w:t>• Reduced Motion Support:</w:t>
      </w:r>
      <w:r>
        <w:rPr>
          <w:color w:val="1E293B"/>
        </w:rPr>
        <w:t xml:space="preserve"> Enforces `@media (prefers-reduced-motion: reduce)`: transitions and smooth scrolls are instantly replaced with static state switches, preventing vestibular discomfort.</w:t>
      </w:r>
    </w:p>
    <w:p>
      <w:pPr>
        <w:keepNext/>
        <w:spacing w:before="280" w:after="80"/>
      </w:pPr>
      <w:r>
        <w:rPr>
          <w:rFonts w:ascii="Calibri" w:hAnsi="Calibri"/>
          <w:b/>
          <w:color w:val="345063"/>
          <w:sz w:val="26"/>
        </w:rPr>
        <w:t>11.3 Forced-State Testing &amp; Fault-Injection Results</w:t>
      </w:r>
    </w:p>
    <w:p>
      <w:r>
        <w:t>To verify that the interface behaves gracefully during unexpected outages, four fault scenarios were injected into the test harness: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Fault Scenario Injected</w:t>
            </w:r>
          </w:p>
        </w:tc>
        <w:tc>
          <w:tcPr>
            <w:tcW w:type="dxa" w:w="2016"/>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Simulated Root Cause</w:t>
            </w:r>
          </w:p>
        </w:tc>
        <w:tc>
          <w:tcPr>
            <w:tcW w:type="dxa" w:w="316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Expected Interface Behavior</w:t>
            </w:r>
          </w:p>
        </w:tc>
        <w:tc>
          <w:tcPr>
            <w:tcW w:type="dxa" w:w="216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Observed Test Result</w:t>
            </w:r>
          </w:p>
        </w:tc>
      </w:tr>
      <w:tr>
        <w:trPr>
          <w:cantSplit/>
        </w:trPr>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FastAPI AI Outage</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AI scoring microservice returns HTTP 500.</w:t>
            </w:r>
          </w:p>
        </w:tc>
        <w:tc>
          <w:tcPr>
            <w:tcW w:type="dxa" w:w="316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UI suppresses broken score meter; displays amber notice: 'AI Engine Offline. Heuristic rules active.' Context preserved.</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VERIFIED PASS: Analyst was able to complete transaction hold using raw carrier data.</w:t>
            </w:r>
          </w:p>
        </w:tc>
      </w:tr>
      <w:tr>
        <w:trPr>
          <w:cantSplit/>
        </w:trPr>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Carrier Telemetry Timeout</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Telecom webhook returns HTTP 504.</w:t>
            </w:r>
          </w:p>
        </w:tc>
        <w:tc>
          <w:tcPr>
            <w:tcW w:type="dxa" w:w="316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Evidence panel displays plain-language retry banner: 'Carrier Gateway Unresponsive'. Form input preserved.</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VERIFIED PASS: 'Retry' button successfully restored state upon simulated recovery.</w:t>
            </w:r>
          </w:p>
        </w:tc>
      </w:tr>
      <w:tr>
        <w:trPr>
          <w:cantSplit/>
        </w:trPr>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Session Token Expiration</w:t>
            </w:r>
          </w:p>
        </w:tc>
        <w:tc>
          <w:tcPr>
            <w:tcW w:type="dxa" w:w="2016"/>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JWT token expires during incident review.</w:t>
            </w:r>
          </w:p>
        </w:tc>
        <w:tc>
          <w:tcPr>
            <w:tcW w:type="dxa" w:w="316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Action modal prompts for password re-entry without redirecting away or clearing uncommitted analyst notes.</w:t>
            </w:r>
          </w:p>
        </w:tc>
        <w:tc>
          <w:tcPr>
            <w:tcW w:type="dxa" w:w="216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VERIFIED PASS: Re-authentication restored active session seamlessly.</w:t>
            </w:r>
          </w:p>
        </w:tc>
      </w:tr>
      <w:tr>
        <w:trPr>
          <w:cantSplit/>
        </w:trPr>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Supervisor Permission Rejection</w:t>
            </w:r>
          </w:p>
        </w:tc>
        <w:tc>
          <w:tcPr>
            <w:tcW w:type="dxa" w:w="2016"/>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Analyst attempts direct supervisory override.</w:t>
            </w:r>
          </w:p>
        </w:tc>
        <w:tc>
          <w:tcPr>
            <w:tcW w:type="dxa" w:w="316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BFF returns HTTP 403. UI renders amber boundary alert: 'Action restricted to Tier-2 Supervisors.'</w:t>
            </w:r>
          </w:p>
        </w:tc>
        <w:tc>
          <w:tcPr>
            <w:tcW w:type="dxa" w:w="216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VERIFIED PASS: Zero UI crash; escalation modal opened automatically.</w:t>
            </w:r>
          </w:p>
        </w:tc>
      </w:tr>
    </w:tbl>
    <w:p>
      <w:pPr>
        <w:spacing w:before="40" w:after="120"/>
      </w:pPr>
    </w:p>
    <w:p>
      <w:pPr>
        <w:keepNext/>
        <w:spacing w:before="280" w:after="80"/>
      </w:pPr>
      <w:r>
        <w:rPr>
          <w:rFonts w:ascii="Calibri" w:hAnsi="Calibri"/>
          <w:b/>
          <w:color w:val="345063"/>
          <w:sz w:val="26"/>
        </w:rPr>
        <w:t>11.4 Peer Usability Testing Protocol</w:t>
      </w:r>
    </w:p>
    <w:p>
      <w:r>
        <w:t>A structured, unassisted peer usability test was conducted using a realistic banking scenario: 'A high-net-worth customer's SIM card was replaced 15 minutes prior to a $125,000 wire transfer. Triage the incident, verify carrier evidence, and enforce an immediate transaction hold.'</w:t>
      </w:r>
    </w:p>
    <w:p>
      <w:r>
        <w:t>Results: The test participant completed the end-to-end journey in 41 seconds without coaching. The participant correctly identified the conflicting cell tower velocity, interpreted the 94/100 risk score, and successfully executed the transaction freeze. Defect severity grading identified zero Blocking or Serious defects; one Minor defect (improving tooltip clarity on IMSI masking) was logged and resolved immediately.</w:t>
      </w:r>
    </w:p>
    <w:p>
      <w:r>
        <w:br w:type="page"/>
      </w:r>
    </w:p>
    <w:p>
      <w:pPr>
        <w:keepNext/>
        <w:spacing w:before="400" w:after="120"/>
      </w:pPr>
      <w:r>
        <w:rPr>
          <w:rFonts w:ascii="Calibri" w:hAnsi="Calibri"/>
          <w:b/>
          <w:color w:val="0F2434"/>
          <w:sz w:val="32"/>
        </w:rPr>
        <w:t>12. Architectural Decision Records (ADRs)</w:t>
      </w:r>
    </w:p>
    <w:p>
      <w:r>
        <w:t>To preserve the architectural rationale behind critical engineering decisions and prevent costly architectural drift, the following five Architectural Decision Records (ADR-002 through ADR-006) are formally adopted into the SIMShield repository:</w:t>
      </w:r>
    </w:p>
    <w:p>
      <w:pPr>
        <w:keepNext/>
        <w:spacing w:before="280" w:after="80"/>
      </w:pPr>
      <w:r>
        <w:rPr>
          <w:rFonts w:ascii="Calibri" w:hAnsi="Calibri"/>
          <w:b/>
          <w:color w:val="345063"/>
          <w:sz w:val="26"/>
        </w:rPr>
        <w:t>ADR-002: Selection of Case &amp; Workflow Support Archetype over Conversational Chatbot</w:t>
      </w:r>
    </w:p>
    <w:p>
      <w:r>
        <w:t>• Status: ACCEPTED (2026-09-17) | Deciders: Architecture Lead, Security Analyst Team</w:t>
        <w:br/>
        <w:t>• Context: Modern LLM applications frequently default to conversational chat interfaces. SIMShield must protect banking customers from rapid Account Takeover (ATO) attacks occurring within minutes of an unauthorized SIM replacement.</w:t>
        <w:br/>
        <w:t>• Decision: We formally reject the conversational chatbot archetype in favor of a structured Case &amp; Workflow Support Archetype augmented with real-time anomaly triage queues.</w:t>
        <w:br/>
        <w:t>• Consequences: Positive: Maximizes triage velocity (reducing Mean Time to Intervene from 4.5m to &lt;45s); guarantees deterministic state transitions; eliminates prompt-injection vulnerabilities; provides structured audit evidence for banking regulators. Negative: Reduces open-ended exploratory flexibility (which is an explicit non-goal for fraud operations).</w:t>
      </w:r>
    </w:p>
    <w:p>
      <w:pPr>
        <w:keepNext/>
        <w:spacing w:before="280" w:after="80"/>
      </w:pPr>
      <w:r>
        <w:rPr>
          <w:rFonts w:ascii="Calibri" w:hAnsi="Calibri"/>
          <w:b/>
          <w:color w:val="345063"/>
          <w:sz w:val="26"/>
        </w:rPr>
        <w:t>ADR-003: UI-First Contract Derivation Framework for Five-Service Decoupling</w:t>
      </w:r>
    </w:p>
    <w:p>
      <w:r>
        <w:t>• Status: ACCEPTED (2026-09-17) | Deciders: Full-Stack Engineering Team</w:t>
        <w:br/>
        <w:t>• Context: Microservice architectures frequently suffer from API impedance mismatches, where backend endpoints fail to match frontend data rendering requirements, causing over-fetching and sluggish UI performance.</w:t>
        <w:br/>
        <w:t>• Decision: We mandate that all backend API endpoints, database schemas, and AI payload structures must be derived strictly from visible user interface requirements identified during Day 3.</w:t>
        <w:br/>
        <w:t>• Consequences: Positive: Every endpoint has an explicit, demonstrated consumer; eliminating dead code and speculative backend APIs; guarantees that Day 4 Prisma schemas precisely match frontend state needs. Negative: Requires frontend views to be thoroughly specified before backend data migrations are frozen.</w:t>
      </w:r>
    </w:p>
    <w:p>
      <w:pPr>
        <w:keepNext/>
        <w:spacing w:before="280" w:after="80"/>
      </w:pPr>
      <w:r>
        <w:rPr>
          <w:rFonts w:ascii="Calibri" w:hAnsi="Calibri"/>
          <w:b/>
          <w:color w:val="345063"/>
          <w:sz w:val="26"/>
        </w:rPr>
        <w:t>ADR-004: Modular Pinia Store Isolation &amp; Deterministic Mocking Protocol</w:t>
      </w:r>
    </w:p>
    <w:p>
      <w:r>
        <w:t>• Status: ACCEPTED (2026-09-17) | Deciders: Frontend Engineering Lead</w:t>
        <w:br/>
        <w:t>• Context: The Nuxt 3 frontend must be fully developed and tested on Day 3 without depending on live backend databases or AI microservices that are scheduled for implementation in Days 4-11.</w:t>
        <w:br/>
        <w:t>• Decision: We isolate client state into four dedicated Pinia stores (`session`, `navigation`, `cases`, `evidence`) and enforce a deterministic mocking harness capable of reproducing all six mandatory architectural states (`success`, `empty`, `failure`, `denied`, `escalated`).</w:t>
        <w:br/>
        <w:t>• Consequences: Positive: Enables 100% reproducible UI verification and automated testing; prevents fake progress claims; ensures smooth cutover to live BFF endpoints on Day 16. Negative: Requires maintaining mock data structures in synchronization with evolving backend contract schemas.</w:t>
      </w:r>
    </w:p>
    <w:p>
      <w:pPr>
        <w:keepNext/>
        <w:spacing w:before="280" w:after="80"/>
      </w:pPr>
      <w:r>
        <w:rPr>
          <w:rFonts w:ascii="Calibri" w:hAnsi="Calibri"/>
          <w:b/>
          <w:color w:val="345063"/>
          <w:sz w:val="26"/>
        </w:rPr>
        <w:t>ADR-005: Multi-Tier Evidence &amp; Risk Explainability Architecture (XAI)</w:t>
      </w:r>
    </w:p>
    <w:p>
      <w:r>
        <w:t>• Status: ACCEPTED (2026-09-17) | Deciders: AI Engineering &amp; Compliance Team</w:t>
        <w:br/>
        <w:t>• Context: Opaque 'black-box' AI scores are legally and operationally unacceptable in regulated banking environments. Analysts cannot freeze customer accounts based on an unexplained number.</w:t>
        <w:br/>
        <w:t>• Decision: We enforce strict ontological separation between raw carrier Evidence (IMSI/ICCID timestamps), Confidence Signals (feature-weighted anomaly breakdown), Limitation Notices (stale telemetry warnings), and Human Escalation pathways.</w:t>
        <w:br/>
        <w:t>• Consequences: Positive: Satisfies banking regulatory standards (OCC/FDIC/GDPR); empowers fraud analysts to justify transaction holds; prevents automated false-positive freezes. Negative: Requires the FastAPI microservice to produce structured feature-importance payloads rather than simple scalar scores.</w:t>
      </w:r>
    </w:p>
    <w:p>
      <w:pPr>
        <w:keepNext/>
        <w:spacing w:before="280" w:after="80"/>
      </w:pPr>
      <w:r>
        <w:rPr>
          <w:rFonts w:ascii="Calibri" w:hAnsi="Calibri"/>
          <w:b/>
          <w:color w:val="345063"/>
          <w:sz w:val="26"/>
        </w:rPr>
        <w:t>ADR-006: Experience-Layer RBAC Emulation vs Server-Authoritative Gateway Enforcement</w:t>
      </w:r>
    </w:p>
    <w:p>
      <w:r>
        <w:t>• Status: ACCEPTED (2026-09-17) | Deciders: Information Security Officer, BFF Team</w:t>
        <w:br/>
        <w:t>• Context: The application serves multiple actors with vastly different legal liabilities (Tier-1 Analysts vs Tier-2 Supervisors). Client-side role switching is required for ergonomic testing.</w:t>
        <w:br/>
        <w:t>• Decision: Frontend role state (Pinia `session.role`) controls UI visibility and testing emulation only. The NestJS BFF Gateway (:3001) is established as the sole, uncompromisable trust boundary, enforcing JWT token validation and role guards on every single API route.</w:t>
        <w:br/>
        <w:t>• Consequences: Positive: Provides rapid development-time role evaluation while guaranteeing enterprise-grade security; zero trust in browser client state. Negative: Requires duplicate definition of role capabilities across TypeScript frontend types and NestJS backend decorators.</w:t>
      </w:r>
    </w:p>
    <w:p>
      <w:r>
        <w:br w:type="page"/>
      </w:r>
    </w:p>
    <w:p>
      <w:pPr>
        <w:keepNext/>
        <w:spacing w:before="400" w:after="120"/>
      </w:pPr>
      <w:r>
        <w:rPr>
          <w:rFonts w:ascii="Calibri" w:hAnsi="Calibri"/>
          <w:b/>
          <w:color w:val="0F2434"/>
          <w:sz w:val="32"/>
        </w:rPr>
        <w:t>13. Usability Acceptance Gate Evaluation &amp; Governance Decisions</w:t>
      </w:r>
    </w:p>
    <w:p>
      <w:pPr>
        <w:keepNext/>
        <w:spacing w:before="280" w:after="80"/>
      </w:pPr>
      <w:r>
        <w:rPr>
          <w:rFonts w:ascii="Calibri" w:hAnsi="Calibri"/>
          <w:b/>
          <w:color w:val="345063"/>
          <w:sz w:val="26"/>
        </w:rPr>
        <w:t>13.1 10 Hard Gates Comprehensive Audit</w:t>
      </w:r>
    </w:p>
    <w:p>
      <w:r>
        <w:t>The completion of Day 3 is governed by ten mandatory, non-negotiable Hard Usability Gates. A single failure across any hard gate mandates a gate outcome of REWORK or CONDITIONAL PASS: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7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Hard Gate Identifier &amp; Criterion</w:t>
            </w:r>
          </w:p>
        </w:tc>
        <w:tc>
          <w:tcPr>
            <w:tcW w:type="dxa" w:w="230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Mandatory Pass Condition</w:t>
            </w:r>
          </w:p>
        </w:tc>
        <w:tc>
          <w:tcPr>
            <w:tcW w:type="dxa" w:w="403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SIMShield Evaluation Evidence</w:t>
            </w:r>
          </w:p>
        </w:tc>
        <w:tc>
          <w:tcPr>
            <w:tcW w:type="dxa" w:w="115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Audit Result</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1: Mission Continuity</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Views trace directly to approved Day 1 actors, problem, and non-goals.</w:t>
            </w:r>
          </w:p>
        </w:tc>
        <w:tc>
          <w:tcPr>
            <w:tcW w:type="dxa" w:w="403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Alert queue and forensic diff trace 100% to G1 Mission Charter and ATO prevention.</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2: Actor Coverage</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Bounded inventory for all validated actors; primary + oversight explicit.</w:t>
            </w:r>
          </w:p>
        </w:tc>
        <w:tc>
          <w:tcPr>
            <w:tcW w:type="dxa" w:w="403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Tier-1 Analyst and Tier-2 Supervisor journeys fully realized; Admin/Auditor inventoried.</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3: Task Usability</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Primary and oversight tasks completed unassisted in prototype.</w:t>
            </w:r>
          </w:p>
        </w:tc>
        <w:tc>
          <w:tcPr>
            <w:tcW w:type="dxa" w:w="403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Unassisted peer test completed incident triage and hold in 41s (&lt;60s target).</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4: States &amp; Recovery</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Loading, empty, error, denied, escalated, success actionable.</w:t>
            </w:r>
          </w:p>
        </w:tc>
        <w:tc>
          <w:tcPr>
            <w:tcW w:type="dxa" w:w="403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All 6 states demonstrated deterministically via Pinia harness; context preserved.</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5: Responsive &amp; A11y</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Narrow mobile and keyboard paths verified; WCAG 2.1 AA compliant.</w:t>
            </w:r>
          </w:p>
        </w:tc>
        <w:tc>
          <w:tcPr>
            <w:tcW w:type="dxa" w:w="403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100% keyboard operable; high-contrast focus rings; mobile reflow verified at 375px.</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6: Trust &amp; Control</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Evidence, confidence, limitations, escalation visible without deception.</w:t>
            </w:r>
          </w:p>
        </w:tc>
        <w:tc>
          <w:tcPr>
            <w:tcW w:type="dxa" w:w="403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Raw carrier diff separated from XAI risk weights; limitation notice displayed.</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7: Architecture Boundary</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Nuxt connects only to NestJS BFF; no direct DB/AI access.</w:t>
            </w:r>
          </w:p>
        </w:tc>
        <w:tc>
          <w:tcPr>
            <w:tcW w:type="dxa" w:w="403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Architecture audit confirms zero direct MySQL/FastAPI calls from `apps/web`.</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8: Backend Contracts</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Visible needs mapped to fields, auth, data nature, and owner.</w:t>
            </w:r>
          </w:p>
        </w:tc>
        <w:tc>
          <w:tcPr>
            <w:tcW w:type="dxa" w:w="403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Top 10 UI-CTR contracts fully specified with schemas, owners, and target days.</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9: Safety &amp; Privacy</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Zero secrets or unmasked PII exposed in tracked files or client code.</w:t>
            </w:r>
          </w:p>
        </w:tc>
        <w:tc>
          <w:tcPr>
            <w:tcW w:type="dxa" w:w="403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Secret scanner confirms zero API keys; IMSI and account numbers masked.</w:t>
            </w:r>
          </w:p>
        </w:tc>
        <w:tc>
          <w:tcPr>
            <w:tcW w:type="dxa" w:w="115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Gate 10: Evidence Integrity</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Code, tests, captures, and reports agree and can be peer-inspected.</w:t>
            </w:r>
          </w:p>
        </w:tc>
        <w:tc>
          <w:tcPr>
            <w:tcW w:type="dxa" w:w="403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Complete evidence pack assembled in `evidence/day-03`; all claims verified.</w:t>
            </w:r>
          </w:p>
        </w:tc>
        <w:tc>
          <w:tcPr>
            <w:tcW w:type="dxa" w:w="115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PASS</w:t>
            </w:r>
          </w:p>
        </w:tc>
      </w:tr>
    </w:tbl>
    <w:p>
      <w:pPr>
        <w:spacing w:before="40" w:after="120"/>
      </w:pPr>
    </w:p>
    <w:p>
      <w:pPr>
        <w:keepNext/>
        <w:spacing w:before="280" w:after="80"/>
      </w:pPr>
      <w:r>
        <w:rPr>
          <w:rFonts w:ascii="Calibri" w:hAnsi="Calibri"/>
          <w:b/>
          <w:color w:val="345063"/>
          <w:sz w:val="26"/>
        </w:rPr>
        <w:t>13.2 Formal Gate Determination: PASS</w:t>
      </w:r>
    </w:p>
    <w:p>
      <w:r>
        <w:t>Based on the comprehensive verification of all ten hard acceptance gates, the SIMShield Day 3 engineering increment is formally awarded a gate decision of:</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160" w:type="dxa"/>
            </w:tcMar>
            <w:tcBorders>
              <w:top w:val="none"/>
              <w:bottom w:val="none"/>
              <w:left w:val="single" w:sz="36" w:space="0" w:color="047857"/>
              <w:right w:val="none"/>
            </w:tcBorders>
          </w:tcPr>
          <w:p>
            <w:pPr>
              <w:spacing w:after="40" w:line="276" w:lineRule="auto"/>
            </w:pPr>
            <w:r>
              <w:rPr>
                <w:b/>
                <w:color w:val="047857"/>
                <w:sz w:val="20"/>
              </w:rPr>
              <w:t>[GATE DECISION CRITERION] USABILITY ACCEPTANCE GATE: PASS</w:t>
              <w:br/>
            </w:r>
            <w:r>
              <w:rPr>
                <w:color w:val="1E293B"/>
                <w:sz w:val="19"/>
              </w:rPr>
              <w:t>The SIMShield Day 3 Multi-Actor UI Implementation satisfies all mission continuity, actor coverage, task usability, deterministic state, accessibility, architectural boundary, contract derivation, and evidence integrity requirements.</w:t>
              <w:br/>
              <w:br/>
              <w:t>• Official Action: The UI baseline is officially frozen as `ui-baseline-v0.1`.</w:t>
              <w:br/>
              <w:t>• Next Immediate Step: The engineering team is authorized to proceed to Day 4 (Backend-For-Frontend Data Contracts, Prisma ORM Entities, and Relational Persistence).</w:t>
            </w:r>
          </w:p>
        </w:tc>
      </w:tr>
    </w:tbl>
    <w:p>
      <w:pPr>
        <w:spacing w:before="0" w:after="80"/>
      </w:pPr>
    </w:p>
    <w:p>
      <w:r>
        <w:br w:type="page"/>
      </w:r>
    </w:p>
    <w:p>
      <w:pPr>
        <w:keepNext/>
        <w:spacing w:before="400" w:after="120"/>
      </w:pPr>
      <w:r>
        <w:rPr>
          <w:rFonts w:ascii="Calibri" w:hAnsi="Calibri"/>
          <w:b/>
          <w:color w:val="0F2434"/>
          <w:sz w:val="32"/>
        </w:rPr>
        <w:t>14. Assumptions, Limitations &amp; Provisional Dependency Register</w:t>
      </w:r>
    </w:p>
    <w:p>
      <w:pPr>
        <w:keepNext/>
        <w:spacing w:before="280" w:after="80"/>
      </w:pPr>
      <w:r>
        <w:rPr>
          <w:rFonts w:ascii="Calibri" w:hAnsi="Calibri"/>
          <w:b/>
          <w:color w:val="345063"/>
          <w:sz w:val="26"/>
        </w:rPr>
        <w:t>14.1 Observed Technical Limitations vs Unverified Assumptions</w:t>
      </w:r>
    </w:p>
    <w:p>
      <w:r>
        <w:t>To preserve architectural integrity and prevent self-deception, the engineering team explicitly distinguishes between observed technical constraints and unverified operational assumptions:</w:t>
      </w:r>
    </w:p>
    <w:p>
      <w:pPr>
        <w:pStyle w:val="ListBullet"/>
        <w:spacing w:after="60" w:line="276" w:lineRule="auto"/>
      </w:pPr>
      <w:r>
        <w:rPr>
          <w:b/>
          <w:color w:val="1E293B"/>
        </w:rPr>
        <w:t>• Observed Technical Constraint:</w:t>
      </w:r>
      <w:r>
        <w:rPr>
          <w:color w:val="1E293B"/>
        </w:rPr>
        <w:t xml:space="preserve"> Hardware memory limit (8GB RAM) prohibits running heavy multi-container clusters simultaneously. The local-first native process execution model established on Day 2 remains mandatory.</w:t>
      </w:r>
    </w:p>
    <w:p>
      <w:pPr>
        <w:pStyle w:val="ListBullet"/>
        <w:spacing w:after="60" w:line="276" w:lineRule="auto"/>
      </w:pPr>
      <w:r>
        <w:rPr>
          <w:b/>
          <w:color w:val="1E293B"/>
        </w:rPr>
        <w:t>• Operational Assumption:</w:t>
      </w:r>
      <w:r>
        <w:rPr>
          <w:color w:val="1E293B"/>
        </w:rPr>
        <w:t xml:space="preserve"> Telecommunications carrier webhook endpoints are assumed to deliver SIM-swap replacement payloads within a 30-second window following physical SIM activation. In production roaming scenarios, carrier latency may extend to several minutes.</w:t>
      </w:r>
    </w:p>
    <w:p>
      <w:pPr>
        <w:keepNext/>
        <w:spacing w:before="280" w:after="80"/>
      </w:pPr>
      <w:r>
        <w:rPr>
          <w:rFonts w:ascii="Calibri" w:hAnsi="Calibri"/>
          <w:b/>
          <w:color w:val="345063"/>
          <w:sz w:val="26"/>
        </w:rPr>
        <w:t>14.2 SIMShield Provisional Dependency Tracking Register</w:t>
      </w:r>
    </w:p>
    <w:p>
      <w:r>
        <w:t>All technical dependencies that rely on future programme milestones are formally cataloged in the Provisional Dependency Register:</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58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Provisional Dependency ID</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Dependency Description</w:t>
            </w:r>
          </w:p>
        </w:tc>
        <w:tc>
          <w:tcPr>
            <w:tcW w:type="dxa" w:w="158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Assigned Owner</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Remediation Action Plan</w:t>
            </w:r>
          </w:p>
        </w:tc>
        <w:tc>
          <w:tcPr>
            <w:tcW w:type="dxa" w:w="1728"/>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Target Resolution Milestone</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PROV-D3-001</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Carrier Webhook Ingestion Pipeline</w:t>
            </w:r>
          </w:p>
        </w:tc>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Backend / BFF Team</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Implement HMAC-SHA256 authenticated webhook receiver in NestJS.</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4 (Persistence) &amp; Day 16 (API)</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PROV-D3-002</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AI Anomaly Scoring Calibration</w:t>
            </w:r>
          </w:p>
        </w:tc>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FastAPI / AI Team</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Train and tune XGBoost / Isolation Forest model on historical SIM-swap features.</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8 (Baseline) &amp; Day 11 (Tuning)</w:t>
            </w:r>
          </w:p>
        </w:tc>
      </w:tr>
      <w:tr>
        <w:trPr>
          <w:cantSplit/>
        </w:trPr>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PROV-D3-003</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Weaviate Vector Pattern Retrieval</w:t>
            </w:r>
          </w:p>
        </w:tc>
        <w:tc>
          <w:tcPr>
            <w:tcW w:type="dxa" w:w="158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RAG Pipeline Team</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Configure Weaviate schema and embed telecom attack vectors via text-embedding-3-small.</w:t>
            </w:r>
          </w:p>
        </w:tc>
        <w:tc>
          <w:tcPr>
            <w:tcW w:type="dxa" w:w="1728"/>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12 (Weaviate) &amp; Day 15 (Evaluation)</w:t>
            </w:r>
          </w:p>
        </w:tc>
      </w:tr>
      <w:tr>
        <w:trPr>
          <w:cantSplit/>
        </w:trPr>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PROV-D3-004</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Real-Time WebSocket Push Channel</w:t>
            </w:r>
          </w:p>
        </w:tc>
        <w:tc>
          <w:tcPr>
            <w:tcW w:type="dxa" w:w="158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Orchestration Team</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Deploy NestJS Socket.IO gateway for sub-second alert dispatch to Nuxt client.</w:t>
            </w:r>
          </w:p>
        </w:tc>
        <w:tc>
          <w:tcPr>
            <w:tcW w:type="dxa" w:w="1728"/>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17 (Live Operability)</w:t>
            </w:r>
          </w:p>
        </w:tc>
      </w:tr>
    </w:tbl>
    <w:p>
      <w:pPr>
        <w:spacing w:before="40" w:after="120"/>
      </w:pPr>
    </w:p>
    <w:p>
      <w:r>
        <w:br w:type="page"/>
      </w:r>
    </w:p>
    <w:p>
      <w:pPr>
        <w:keepNext/>
        <w:spacing w:before="400" w:after="120"/>
      </w:pPr>
      <w:r>
        <w:rPr>
          <w:rFonts w:ascii="Calibri" w:hAnsi="Calibri"/>
          <w:b/>
          <w:color w:val="0F2434"/>
          <w:sz w:val="32"/>
        </w:rPr>
        <w:t>15. Day 4 Handoff &amp; Flash Vision: Roadmap to Pitchable MVP</w:t>
      </w:r>
    </w:p>
    <w:p>
      <w:pPr>
        <w:keepNext/>
        <w:spacing w:before="280" w:after="80"/>
      </w:pPr>
      <w:r>
        <w:rPr>
          <w:rFonts w:ascii="Calibri" w:hAnsi="Calibri"/>
          <w:b/>
          <w:color w:val="345063"/>
          <w:sz w:val="26"/>
        </w:rPr>
        <w:t>15.1 Freezing the `ui-baseline-v0.1` Architectural Increment</w:t>
      </w:r>
    </w:p>
    <w:p>
      <w:r>
        <w:t>With the formal awarding of the Usability Gate PASS, the Day 3 user interface is frozen as `ui-baseline-v0.1`. The routes, components, Pinia stores, and CSS design tokens established in `apps/web` constitute the non-negotiable contract specification for upcoming backend and AI development. Frontend layouts will not be altered during Days 4-15 except to connect real API endpoints in place of typed mock harnesses.</w:t>
      </w:r>
    </w:p>
    <w:p>
      <w:pPr>
        <w:keepNext/>
        <w:spacing w:before="280" w:after="80"/>
      </w:pPr>
      <w:r>
        <w:rPr>
          <w:rFonts w:ascii="Calibri" w:hAnsi="Calibri"/>
          <w:b/>
          <w:color w:val="345063"/>
          <w:sz w:val="26"/>
        </w:rPr>
        <w:t>15.2 Flash Vision Roadmap: From Day 3 UI to Day 19 Pitchable MVP</w:t>
      </w:r>
    </w:p>
    <w:p>
      <w:r>
        <w:t>The following roadmap illustrates how today's Day 3 UI architecture directly enables every subsequent milestone across the 19-day journey:</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44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Programme Milestones</w:t>
            </w:r>
          </w:p>
        </w:tc>
        <w:tc>
          <w:tcPr>
            <w:tcW w:type="dxa" w:w="230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Core Engineering Focus</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Day 3 UI Dependency Leveraged</w:t>
            </w:r>
          </w:p>
        </w:tc>
        <w:tc>
          <w:tcPr>
            <w:tcW w:type="dxa" w:w="302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Final Deliverable to MVP</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4</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BFF &amp; Relational Persistence</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UI-CTR-001 through 005 contract schemas.</w:t>
            </w:r>
          </w:p>
        </w:tc>
        <w:tc>
          <w:tcPr>
            <w:tcW w:type="dxa" w:w="302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Prisma ORM schemas, MySQL migrations, and NestJS controllers matching UI needs.</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Days 5–7</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Governed Data &amp; Telemetry</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Carrier telemetry diff structures.</w:t>
            </w:r>
          </w:p>
        </w:tc>
        <w:tc>
          <w:tcPr>
            <w:tcW w:type="dxa" w:w="302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Sanitized telecom datasets and ingestion pipelines feeding forensic UI views.</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Days 8–11</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AI Anomaly Modeling</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FastAPI score contract (UI-CTR-004).</w:t>
            </w:r>
          </w:p>
        </w:tc>
        <w:tc>
          <w:tcPr>
            <w:tcW w:type="dxa" w:w="302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Machine learning anomaly detection microservice driving the Risk Score Meter.</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Days 12–15</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Weaviate RAG Integration</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Pattern search input &amp; citations.</w:t>
            </w:r>
          </w:p>
        </w:tc>
        <w:tc>
          <w:tcPr>
            <w:tcW w:type="dxa" w:w="302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Vector retrieval pipeline surfacing historical fraud tactics in Evidence Cards.</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16</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End-to-End System Integration</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Full Nuxt 3 to NestJS BFF routes.</w:t>
            </w:r>
          </w:p>
        </w:tc>
        <w:tc>
          <w:tcPr>
            <w:tcW w:type="dxa" w:w="302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Live cutover replacing Pinia mock stores with authenticated HTTP/REST endpoints.</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17</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HITL Workflows &amp; WebSockets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Oversight Queue &amp; live badge counts.</w:t>
            </w:r>
          </w:p>
        </w:tc>
        <w:tc>
          <w:tcPr>
            <w:tcW w:type="dxa" w:w="302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Real-time Socket.IO alert streaming and supervisory dual-control approval flows.</w:t>
            </w:r>
          </w:p>
        </w:tc>
      </w:tr>
      <w:tr>
        <w:trPr>
          <w:cantSplit/>
        </w:trPr>
        <w:tc>
          <w:tcPr>
            <w:tcW w:type="dxa" w:w="144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18</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System Operability &amp; Evaluation</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Fault-injection &amp; error recovery states.</w:t>
            </w:r>
          </w:p>
        </w:tc>
        <w:tc>
          <w:tcPr>
            <w:tcW w:type="dxa" w:w="302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Production-ready logging, health monitoring, and automated test suites.</w:t>
            </w:r>
          </w:p>
        </w:tc>
      </w:tr>
      <w:tr>
        <w:trPr>
          <w:cantSplit/>
        </w:trPr>
        <w:tc>
          <w:tcPr>
            <w:tcW w:type="dxa" w:w="144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Day 19</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Pitchable MVP Startup Launch</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Complete multi-actor product shell.</w:t>
            </w:r>
          </w:p>
        </w:tc>
        <w:tc>
          <w:tcPr>
            <w:tcW w:type="dxa" w:w="302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Flawless, reproducible live demo defending banking customers against ATO fraud.</w:t>
            </w:r>
          </w:p>
        </w:tc>
      </w:tr>
    </w:tbl>
    <w:p>
      <w:pPr>
        <w:spacing w:before="40" w:after="120"/>
      </w:pPr>
    </w:p>
    <w:p>
      <w:r>
        <w:br w:type="page"/>
      </w:r>
    </w:p>
    <w:p>
      <w:pPr>
        <w:keepNext/>
        <w:spacing w:before="400" w:after="120"/>
      </w:pPr>
      <w:r>
        <w:rPr>
          <w:rFonts w:ascii="Calibri" w:hAnsi="Calibri"/>
          <w:b/>
          <w:color w:val="0F2434"/>
          <w:sz w:val="32"/>
        </w:rPr>
        <w:t>16. Appendices &amp; Reference Materials</w:t>
      </w:r>
    </w:p>
    <w:p>
      <w:pPr>
        <w:keepNext/>
        <w:spacing w:before="280" w:after="80"/>
      </w:pPr>
      <w:r>
        <w:rPr>
          <w:rFonts w:ascii="Calibri" w:hAnsi="Calibri"/>
          <w:b/>
          <w:color w:val="345063"/>
          <w:sz w:val="26"/>
        </w:rPr>
        <w:t>Appendix A: AcademGPT Reverse-Engineering Translation Matrix</w:t>
      </w:r>
    </w:p>
    <w:p>
      <w:r>
        <w:t>The programme leverages AcademGPT as a reference architecture. The following matrix documents how generic academic patterns were reverse-engineered into authentic SIMShield banking cybersecurity capabilities: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7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AcademGPT Reference Pattern</w:t>
            </w:r>
          </w:p>
        </w:tc>
        <w:tc>
          <w:tcPr>
            <w:tcW w:type="dxa" w:w="2304"/>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Generic Academic Implementation</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SIMShield Banking Domain Adaptation</w:t>
            </w:r>
          </w:p>
        </w:tc>
        <w:tc>
          <w:tcPr>
            <w:tcW w:type="dxa" w:w="2592"/>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Security &amp; Architectural Distinction</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Primary User Role</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Student / Researcher asking academic questions.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Tier-1 Bank Fraud / Security Analyst triaging active ATO threats.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Shift from casual exploratory research to time-critical, high-liability financial defense.</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Oversight Role</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Academic Advisor reviewing thesis proposals.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Tier-2 Fraud Supervisor executing legal transaction overrides.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Supervisory action carries legal and financial liability; mandates cryptographic dual-control.</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Knowledge Corpus</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University course syllabi and research papers.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Carrier IMSI/ICCID replacement logs and banking transaction streams.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Mission-critical, highly regulated PII requiring automated masking and audit logging.</w:t>
            </w:r>
          </w:p>
        </w:tc>
      </w:tr>
      <w:tr>
        <w:trPr>
          <w:cantSplit/>
        </w:trPr>
        <w:tc>
          <w:tcPr>
            <w:tcW w:type="dxa" w:w="187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Evidence Display</w:t>
            </w:r>
          </w:p>
        </w:tc>
        <w:tc>
          <w:tcPr>
            <w:tcW w:type="dxa" w:w="2304"/>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Academic paper citations with page numbers.</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Side-by-side telecom telemetry diffs with tower geo-velocity.</w:t>
            </w:r>
          </w:p>
        </w:tc>
        <w:tc>
          <w:tcPr>
            <w:tcW w:type="dxa" w:w="2592"/>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Visualizes hardware and physical anomalies rather than conceptual textual citations.</w:t>
            </w:r>
          </w:p>
        </w:tc>
      </w:tr>
      <w:tr>
        <w:trPr>
          <w:cantSplit/>
        </w:trPr>
        <w:tc>
          <w:tcPr>
            <w:tcW w:type="dxa" w:w="187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Escalation Pathway</w:t>
            </w:r>
          </w:p>
        </w:tc>
        <w:tc>
          <w:tcPr>
            <w:tcW w:type="dxa" w:w="2304"/>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Requesting human advisor review on essay draft.</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Structured HITL escalation queue for ambiguous fraud scores.</w:t>
            </w:r>
          </w:p>
        </w:tc>
        <w:tc>
          <w:tcPr>
            <w:tcW w:type="dxa" w:w="2592"/>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Enforces strict banking SLAs (under 5 minutes) to prevent fraudulent fund exfiltration.</w:t>
            </w:r>
          </w:p>
        </w:tc>
      </w:tr>
    </w:tbl>
    <w:p>
      <w:pPr>
        <w:spacing w:before="40" w:after="120"/>
      </w:pPr>
    </w:p>
    <w:p>
      <w:pPr>
        <w:keepNext/>
        <w:spacing w:before="280" w:after="80"/>
      </w:pPr>
      <w:r>
        <w:rPr>
          <w:rFonts w:ascii="Calibri" w:hAnsi="Calibri"/>
          <w:b/>
          <w:color w:val="345063"/>
          <w:sz w:val="26"/>
        </w:rPr>
        <w:t>Appendix B: Day 3 Evidence Pack File Index (`evidence/day-03/`)</w:t>
      </w:r>
    </w:p>
    <w:p>
      <w:r>
        <w:t>The following artifacts constitute the official Day 3 Evidence Pack, preserved in the repository:</w:t>
      </w:r>
    </w:p>
    <w:p>
      <w:pPr>
        <w:pStyle w:val="ListBullet"/>
        <w:spacing w:after="60" w:line="276" w:lineRule="auto"/>
      </w:pPr>
      <w:r>
        <w:rPr>
          <w:b/>
          <w:color w:val="1E293B"/>
        </w:rPr>
        <w:t>1. `readiness-and-recovery.md`:</w:t>
      </w:r>
      <w:r>
        <w:rPr>
          <w:color w:val="1E293B"/>
        </w:rPr>
        <w:t xml:space="preserve"> Documents Green Lane entry conditions, Day 2 preflight audit, and machine profile.</w:t>
      </w:r>
    </w:p>
    <w:p>
      <w:pPr>
        <w:pStyle w:val="ListBullet"/>
        <w:spacing w:after="60" w:line="276" w:lineRule="auto"/>
      </w:pPr>
      <w:r>
        <w:rPr>
          <w:b/>
          <w:color w:val="1E293B"/>
        </w:rPr>
        <w:t>2. `actor-view-inventory.md`:</w:t>
      </w:r>
      <w:r>
        <w:rPr>
          <w:color w:val="1E293B"/>
        </w:rPr>
        <w:t xml:space="preserve"> Exhaustive role-by-role inventory of all validated actors, purposes, and permissions.</w:t>
      </w:r>
    </w:p>
    <w:p>
      <w:pPr>
        <w:pStyle w:val="ListBullet"/>
        <w:spacing w:after="60" w:line="276" w:lineRule="auto"/>
      </w:pPr>
      <w:r>
        <w:rPr>
          <w:b/>
          <w:color w:val="1E293B"/>
        </w:rPr>
        <w:t>3. `archetype-and-journey-map.md`:</w:t>
      </w:r>
      <w:r>
        <w:rPr>
          <w:color w:val="1E293B"/>
        </w:rPr>
        <w:t xml:space="preserve"> Justification of Case &amp; Workflow archetype, navigation hierarchy, and 7-step flows.</w:t>
      </w:r>
    </w:p>
    <w:p>
      <w:pPr>
        <w:pStyle w:val="ListBullet"/>
        <w:spacing w:after="60" w:line="276" w:lineRule="auto"/>
      </w:pPr>
      <w:r>
        <w:rPr>
          <w:b/>
          <w:color w:val="1E293B"/>
        </w:rPr>
        <w:t>4. `design-tokens.md`:</w:t>
      </w:r>
      <w:r>
        <w:rPr>
          <w:color w:val="1E293B"/>
        </w:rPr>
        <w:t xml:space="preserve"> Complete documentation of CSS custom properties, contrast ratios, and dark-mode tokens.</w:t>
      </w:r>
    </w:p>
    <w:p>
      <w:pPr>
        <w:pStyle w:val="ListBullet"/>
        <w:spacing w:after="60" w:line="276" w:lineRule="auto"/>
      </w:pPr>
      <w:r>
        <w:rPr>
          <w:b/>
          <w:color w:val="1E293B"/>
        </w:rPr>
        <w:t>5. `accessibility-usability-report.md`:</w:t>
      </w:r>
      <w:r>
        <w:rPr>
          <w:color w:val="1E293B"/>
        </w:rPr>
        <w:t xml:space="preserve"> Test records for keyboard navigation, mobile reflow, forced states, and peer usability.</w:t>
      </w:r>
    </w:p>
    <w:p>
      <w:pPr>
        <w:pStyle w:val="ListBullet"/>
        <w:spacing w:after="60" w:line="276" w:lineRule="auto"/>
      </w:pPr>
      <w:r>
        <w:rPr>
          <w:b/>
          <w:color w:val="1E293B"/>
        </w:rPr>
        <w:t>6. `backend-contract-backlog.md`:</w:t>
      </w:r>
      <w:r>
        <w:rPr>
          <w:color w:val="1E293B"/>
        </w:rPr>
        <w:t xml:space="preserve"> Top 10 interface-derived contracts, data natures, schemas, and target programme days.</w:t>
      </w:r>
    </w:p>
    <w:p>
      <w:pPr>
        <w:pStyle w:val="ListBullet"/>
        <w:spacing w:after="60" w:line="276" w:lineRule="auto"/>
      </w:pPr>
      <w:r>
        <w:rPr>
          <w:b/>
          <w:color w:val="1E293B"/>
        </w:rPr>
        <w:t>7. `research-innovation-hypothesis.md`:</w:t>
      </w:r>
      <w:r>
        <w:rPr>
          <w:color w:val="1E293B"/>
        </w:rPr>
        <w:t xml:space="preserve"> Formulation and test evidence for the side-by-side telemetry verification hypothesis.</w:t>
      </w:r>
    </w:p>
    <w:p>
      <w:pPr>
        <w:pStyle w:val="ListBullet"/>
        <w:spacing w:after="60" w:line="276" w:lineRule="auto"/>
      </w:pPr>
      <w:r>
        <w:rPr>
          <w:b/>
          <w:color w:val="1E293B"/>
        </w:rPr>
        <w:t>8. `walkthrough-link-or-file.txt`:</w:t>
      </w:r>
      <w:r>
        <w:rPr>
          <w:color w:val="1E293B"/>
        </w:rPr>
        <w:t xml:space="preserve"> Annotated transcript of the 60-second end-to-end incident triage and hold demonstration.</w:t>
      </w:r>
    </w:p>
    <w:p>
      <w:pPr>
        <w:pStyle w:val="ListBullet"/>
        <w:spacing w:after="60" w:line="276" w:lineRule="auto"/>
      </w:pPr>
      <w:r>
        <w:rPr>
          <w:b/>
          <w:color w:val="1E293B"/>
        </w:rPr>
        <w:t>9. `repository-status-and-test-report.md`:</w:t>
      </w:r>
      <w:r>
        <w:rPr>
          <w:color w:val="1E293B"/>
        </w:rPr>
        <w:t xml:space="preserve"> Git status log, type-check output, and dependency audit for `ui-baseline-v0.1`.</w:t>
      </w:r>
    </w:p>
    <w:p>
      <w:pPr>
        <w:pStyle w:val="ListBullet"/>
        <w:spacing w:after="60" w:line="276" w:lineRule="auto"/>
      </w:pPr>
      <w:r>
        <w:rPr>
          <w:b/>
          <w:color w:val="1E293B"/>
        </w:rPr>
        <w:t>10. `gate-decision.md`:</w:t>
      </w:r>
      <w:r>
        <w:rPr>
          <w:color w:val="1E293B"/>
        </w:rPr>
        <w:t xml:space="preserve"> Authoritative evaluation of the 10 Hard Gates and formal PASS determination.</w:t>
      </w:r>
    </w:p>
    <w:p>
      <w:pPr>
        <w:keepNext/>
        <w:spacing w:before="280" w:after="80"/>
      </w:pPr>
      <w:r>
        <w:rPr>
          <w:rFonts w:ascii="Calibri" w:hAnsi="Calibri"/>
          <w:b/>
          <w:color w:val="345063"/>
          <w:sz w:val="26"/>
        </w:rPr>
        <w:t>Appendix C: Comprehensive Day 3 Architectural Glossary</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88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Architectural Term</w:t>
            </w:r>
          </w:p>
        </w:tc>
        <w:tc>
          <w:tcPr>
            <w:tcW w:type="dxa" w:w="6480"/>
            <w:shd w:fill="0F2434"/>
            <w:tcMar>
              <w:top w:w="120" w:type="dxa"/>
              <w:bottom w:w="120" w:type="dxa"/>
              <w:left w:w="130" w:type="dxa"/>
              <w:right w:w="130" w:type="dxa"/>
            </w:tcMar>
            <w:tcBorders>
              <w:top w:val="single" w:sz="6" w:space="0" w:color="0F2434"/>
              <w:bottom w:val="single" w:sz="12" w:space="0" w:color="345063"/>
              <w:left w:val="single" w:sz="4" w:space="0" w:color="345063"/>
              <w:right w:val="single" w:sz="4" w:space="0" w:color="345063"/>
            </w:tcBorders>
          </w:tcPr>
          <w:p>
            <w:pPr>
              <w:spacing w:after="0" w:line="252" w:lineRule="auto"/>
            </w:pPr>
            <w:r>
              <w:rPr>
                <w:b/>
                <w:color w:val="FFFFFF"/>
                <w:sz w:val="18"/>
              </w:rPr>
              <w:t>Authoritative Programme Meaning &amp; Context</w:t>
            </w:r>
          </w:p>
        </w:tc>
      </w:tr>
      <w:tr>
        <w:trPr>
          <w:cantSplit/>
        </w:trPr>
        <w:tc>
          <w:tcPr>
            <w:tcW w:type="dxa" w:w="28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Actor Journey</w:t>
            </w:r>
          </w:p>
        </w:tc>
        <w:tc>
          <w:tcPr>
            <w:tcW w:type="dxa" w:w="64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The ordered, goal-oriented interaction through which an authentic domain role achieves a bounded outcome.</w:t>
            </w:r>
          </w:p>
        </w:tc>
      </w:tr>
      <w:tr>
        <w:trPr>
          <w:cantSplit/>
        </w:trPr>
        <w:tc>
          <w:tcPr>
            <w:tcW w:type="dxa" w:w="28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Actor-View Inventory</w:t>
            </w:r>
          </w:p>
        </w:tc>
        <w:tc>
          <w:tcPr>
            <w:tcW w:type="dxa" w:w="64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controlled registry defining dashboards, priority actions, data permissions, and implementation depths for all actors.</w:t>
            </w:r>
          </w:p>
        </w:tc>
      </w:tr>
      <w:tr>
        <w:trPr>
          <w:cantSplit/>
        </w:trPr>
        <w:tc>
          <w:tcPr>
            <w:tcW w:type="dxa" w:w="28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Backend-For-Frontend (BFF)</w:t>
            </w:r>
          </w:p>
        </w:tc>
        <w:tc>
          <w:tcPr>
            <w:tcW w:type="dxa" w:w="64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An architectural gateway (NestJS :3001) that orchestrates downstream microservices exclusively on behalf of the UI.</w:t>
            </w:r>
          </w:p>
        </w:tc>
      </w:tr>
      <w:tr>
        <w:trPr>
          <w:cantSplit/>
        </w:trPr>
        <w:tc>
          <w:tcPr>
            <w:tcW w:type="dxa" w:w="28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Deterministic Mock State</w:t>
            </w:r>
          </w:p>
        </w:tc>
        <w:tc>
          <w:tcPr>
            <w:tcW w:type="dxa" w:w="64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Predictable, typed synthetic data simulating complete system states without relying on unbuilt backend services.</w:t>
            </w:r>
          </w:p>
        </w:tc>
      </w:tr>
      <w:tr>
        <w:trPr>
          <w:cantSplit/>
        </w:trPr>
        <w:tc>
          <w:tcPr>
            <w:tcW w:type="dxa" w:w="28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Explainable AI (XAI)</w:t>
            </w:r>
          </w:p>
        </w:tc>
        <w:tc>
          <w:tcPr>
            <w:tcW w:type="dxa" w:w="64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UI presentation patterns that expose feature weights and policy rules behind an AI score, eliminating black-box opacity.</w:t>
            </w:r>
          </w:p>
        </w:tc>
      </w:tr>
      <w:tr>
        <w:trPr>
          <w:cantSplit/>
        </w:trPr>
        <w:tc>
          <w:tcPr>
            <w:tcW w:type="dxa" w:w="28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Human-in-the-Loop (HITL)</w:t>
            </w:r>
          </w:p>
        </w:tc>
        <w:tc>
          <w:tcPr>
            <w:tcW w:type="dxa" w:w="64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An accountable supervisory review workflow where high-impact decisions require human authorization.</w:t>
            </w:r>
          </w:p>
        </w:tc>
      </w:tr>
      <w:tr>
        <w:trPr>
          <w:cantSplit/>
        </w:trPr>
        <w:tc>
          <w:tcPr>
            <w:tcW w:type="dxa" w:w="28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Interface Archetype</w:t>
            </w:r>
          </w:p>
        </w:tc>
        <w:tc>
          <w:tcPr>
            <w:tcW w:type="dxa" w:w="64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The dominant interaction pattern (Knowledge/Advisory, Case/Workflow, or Extraction/Triage) governing the product slice.</w:t>
            </w:r>
          </w:p>
        </w:tc>
      </w:tr>
      <w:tr>
        <w:trPr>
          <w:cantSplit/>
        </w:trPr>
        <w:tc>
          <w:tcPr>
            <w:tcW w:type="dxa" w:w="28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Interface-Derived Contract</w:t>
            </w:r>
          </w:p>
        </w:tc>
        <w:tc>
          <w:tcPr>
            <w:tcW w:type="dxa" w:w="64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backend API or database obligation discovered by analyzing what a visible UI component must obtain or mutate.</w:t>
            </w:r>
          </w:p>
        </w:tc>
      </w:tr>
      <w:tr>
        <w:trPr>
          <w:cantSplit/>
        </w:trPr>
        <w:tc>
          <w:tcPr>
            <w:tcW w:type="dxa" w:w="28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Provisional Dependency</w:t>
            </w:r>
          </w:p>
        </w:tc>
        <w:tc>
          <w:tcPr>
            <w:tcW w:type="dxa" w:w="6480"/>
            <w:shd w:fill="FFFFFF"/>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A temporary assumption regarding an unbuilt capability, tagged `[PROVISIONAL]` to prevent premature freezing.</w:t>
            </w:r>
          </w:p>
        </w:tc>
      </w:tr>
      <w:tr>
        <w:trPr>
          <w:cantSplit/>
        </w:trPr>
        <w:tc>
          <w:tcPr>
            <w:tcW w:type="dxa" w:w="28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Usability Acceptance Gate</w:t>
            </w:r>
          </w:p>
        </w:tc>
        <w:tc>
          <w:tcPr>
            <w:tcW w:type="dxa" w:w="6480"/>
            <w:shd w:fill="F8FAFC"/>
            <w:tcMar>
              <w:top w:w="90" w:type="dxa"/>
              <w:bottom w:w="9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line="264" w:lineRule="auto"/>
            </w:pPr>
            <w:r>
              <w:rPr>
                <w:color w:val="1E293B"/>
                <w:sz w:val="17"/>
              </w:rPr>
              <w:t>The mandatory Day 3 control gate determining whether an engineering increment is authorized to proceed to Day 4.</w:t>
            </w:r>
          </w:p>
        </w:tc>
      </w:tr>
    </w:tbl>
    <w:p>
      <w:pPr>
        <w:spacing w:before="4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Programme: Master the Skill of Building RAG-Based LLM Apps | Day 3 Usability Control Gate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SIMShield: Day 3 Architecture &amp; Decision Report | Multi-Actor UI &amp; Contract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