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before="240" w:lineRule="auto"/>
        <w:ind w:left="241" w:right="241" w:firstLine="0"/>
        <w:jc w:val="center"/>
        <w:rPr>
          <w:rFonts w:ascii="Verdana" w:cs="Verdana" w:eastAsia="Verdana" w:hAnsi="Verdana"/>
          <w:b w:val="1"/>
          <w:color w:val="000000"/>
          <w:sz w:val="28"/>
          <w:szCs w:val="28"/>
        </w:rPr>
      </w:pPr>
      <w:r w:rsidDel="00000000" w:rsidR="00000000" w:rsidRPr="00000000">
        <w:rPr>
          <w:rFonts w:ascii="Verdana" w:cs="Verdana" w:eastAsia="Verdana" w:hAnsi="Verdana"/>
          <w:b w:val="1"/>
          <w:color w:val="000000"/>
          <w:sz w:val="28"/>
          <w:szCs w:val="28"/>
          <w:rtl w:val="0"/>
        </w:rPr>
        <w:t xml:space="preserve">THE KING </w:t>
      </w:r>
    </w:p>
    <w:p w:rsidR="00000000" w:rsidDel="00000000" w:rsidP="00000000" w:rsidRDefault="00000000" w:rsidRPr="00000000" w14:paraId="00000002">
      <w:pPr>
        <w:widowControl w:val="0"/>
        <w:spacing w:after="0" w:before="240" w:lineRule="auto"/>
        <w:ind w:left="241" w:right="241" w:firstLine="0"/>
        <w:jc w:val="center"/>
        <w:rPr>
          <w:rFonts w:ascii="Verdana" w:cs="Verdana" w:eastAsia="Verdana" w:hAnsi="Verdana"/>
          <w:b w:val="1"/>
          <w:color w:val="000000"/>
          <w:sz w:val="28"/>
          <w:szCs w:val="28"/>
        </w:rPr>
      </w:pPr>
      <w:r w:rsidDel="00000000" w:rsidR="00000000" w:rsidRPr="00000000">
        <w:rPr>
          <w:rFonts w:ascii="Verdana" w:cs="Verdana" w:eastAsia="Verdana" w:hAnsi="Verdana"/>
          <w:b w:val="1"/>
          <w:sz w:val="28"/>
          <w:szCs w:val="28"/>
          <w:rtl w:val="0"/>
        </w:rPr>
        <w:t xml:space="preserve">v</w:t>
      </w:r>
      <w:r w:rsidDel="00000000" w:rsidR="00000000" w:rsidRPr="00000000">
        <w:rPr>
          <w:rFonts w:ascii="Verdana" w:cs="Verdana" w:eastAsia="Verdana" w:hAnsi="Verdana"/>
          <w:b w:val="1"/>
          <w:color w:val="000000"/>
          <w:sz w:val="28"/>
          <w:szCs w:val="28"/>
          <w:rtl w:val="0"/>
        </w:rPr>
        <w:t xml:space="preserve">.</w:t>
      </w:r>
    </w:p>
    <w:p w:rsidR="00000000" w:rsidDel="00000000" w:rsidP="00000000" w:rsidRDefault="00000000" w:rsidRPr="00000000" w14:paraId="00000003">
      <w:pPr>
        <w:widowControl w:val="0"/>
        <w:spacing w:after="0" w:before="240" w:lineRule="auto"/>
        <w:ind w:left="241" w:right="241" w:firstLine="0"/>
        <w:jc w:val="center"/>
        <w:rPr>
          <w:rFonts w:ascii="Verdana" w:cs="Verdana" w:eastAsia="Verdana" w:hAnsi="Verdana"/>
          <w:b w:val="1"/>
          <w:color w:val="000000"/>
          <w:sz w:val="28"/>
          <w:szCs w:val="28"/>
        </w:rPr>
      </w:pPr>
      <w:r w:rsidDel="00000000" w:rsidR="00000000" w:rsidRPr="00000000">
        <w:rPr>
          <w:rFonts w:ascii="Verdana" w:cs="Verdana" w:eastAsia="Verdana" w:hAnsi="Verdana"/>
          <w:b w:val="1"/>
          <w:color w:val="000000"/>
          <w:sz w:val="28"/>
          <w:szCs w:val="28"/>
          <w:rtl w:val="0"/>
        </w:rPr>
        <w:t xml:space="preserve">LOVEGROVE.</w:t>
      </w:r>
    </w:p>
    <w:p w:rsidR="00000000" w:rsidDel="00000000" w:rsidP="00000000" w:rsidRDefault="00000000" w:rsidRPr="00000000" w14:paraId="00000004">
      <w:pPr>
        <w:widowControl w:val="0"/>
        <w:spacing w:after="0" w:before="240" w:lineRule="auto"/>
        <w:ind w:left="241" w:right="241" w:firstLine="0"/>
        <w:jc w:val="center"/>
        <w:rPr>
          <w:rFonts w:ascii="Verdana" w:cs="Verdana" w:eastAsia="Verdana" w:hAnsi="Verdana"/>
          <w:color w:val="000000"/>
        </w:rPr>
      </w:pPr>
      <w:r w:rsidDel="00000000" w:rsidR="00000000" w:rsidRPr="00000000">
        <w:rPr>
          <w:rFonts w:ascii="Verdana" w:cs="Verdana" w:eastAsia="Verdana" w:hAnsi="Verdana"/>
          <w:color w:val="000000"/>
          <w:rtl w:val="0"/>
        </w:rPr>
        <w:t xml:space="preserve">COURT OF CRIMINAL APPEAL</w:t>
      </w:r>
    </w:p>
    <w:p w:rsidR="00000000" w:rsidDel="00000000" w:rsidP="00000000" w:rsidRDefault="00000000" w:rsidRPr="00000000" w14:paraId="00000005">
      <w:pPr>
        <w:widowControl w:val="0"/>
        <w:spacing w:after="0" w:before="240" w:lineRule="auto"/>
        <w:ind w:left="241" w:right="241" w:firstLine="0"/>
        <w:jc w:val="center"/>
        <w:rPr>
          <w:rFonts w:ascii="Verdana" w:cs="Verdana" w:eastAsia="Verdana" w:hAnsi="Verdana"/>
          <w:color w:val="000000"/>
        </w:rPr>
      </w:pPr>
      <w:r w:rsidDel="00000000" w:rsidR="00000000" w:rsidRPr="00000000">
        <w:rPr>
          <w:rFonts w:ascii="Verdana" w:cs="Verdana" w:eastAsia="Verdana" w:hAnsi="Verdana"/>
          <w:color w:val="000000"/>
          <w:rtl w:val="0"/>
        </w:rPr>
        <w:t xml:space="preserve">1920 JULY 30</w:t>
      </w:r>
    </w:p>
    <w:p w:rsidR="00000000" w:rsidDel="00000000" w:rsidP="00000000" w:rsidRDefault="00000000" w:rsidRPr="00000000" w14:paraId="00000006">
      <w:pPr>
        <w:widowControl w:val="0"/>
        <w:spacing w:after="0" w:before="240" w:lineRule="auto"/>
        <w:ind w:left="241" w:right="241" w:firstLine="0"/>
        <w:jc w:val="center"/>
        <w:rPr>
          <w:rFonts w:ascii="Verdana" w:cs="Verdana" w:eastAsia="Verdana" w:hAnsi="Verdana"/>
          <w:b w:val="1"/>
          <w:color w:val="000000"/>
        </w:rPr>
      </w:pPr>
      <w:r w:rsidDel="00000000" w:rsidR="00000000" w:rsidRPr="00000000">
        <w:rPr>
          <w:rFonts w:ascii="Verdana" w:cs="Verdana" w:eastAsia="Verdana" w:hAnsi="Verdana"/>
          <w:b w:val="1"/>
          <w:color w:val="000000"/>
          <w:rtl w:val="0"/>
        </w:rPr>
        <w:t xml:space="preserve">LEX (1920) – CCA 3 K.B 643</w:t>
      </w:r>
    </w:p>
    <w:p w:rsidR="00000000" w:rsidDel="00000000" w:rsidP="00000000" w:rsidRDefault="00000000" w:rsidRPr="00000000" w14:paraId="00000007">
      <w:pPr>
        <w:spacing w:after="280" w:before="24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08">
      <w:pPr>
        <w:widowControl w:val="0"/>
        <w:spacing w:after="0" w:lineRule="auto"/>
        <w:ind w:left="241" w:right="241" w:firstLine="0"/>
        <w:jc w:val="right"/>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CITATIONS</w:t>
      </w:r>
    </w:p>
    <w:p w:rsidR="00000000" w:rsidDel="00000000" w:rsidP="00000000" w:rsidRDefault="00000000" w:rsidRPr="00000000" w14:paraId="00000009">
      <w:pPr>
        <w:widowControl w:val="0"/>
        <w:spacing w:after="0" w:lineRule="auto"/>
        <w:ind w:left="241" w:right="241" w:firstLine="0"/>
        <w:jc w:val="right"/>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[1920] 3 K.B. 643 </w:t>
      </w:r>
    </w:p>
    <w:p w:rsidR="00000000" w:rsidDel="00000000" w:rsidP="00000000" w:rsidRDefault="00000000" w:rsidRPr="00000000" w14:paraId="0000000A">
      <w:pPr>
        <w:spacing w:after="28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0B">
      <w:pPr>
        <w:spacing w:after="28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BEFORE THEIR LORDSHIPS:</w:t>
      </w:r>
    </w:p>
    <w:p w:rsidR="00000000" w:rsidDel="00000000" w:rsidP="00000000" w:rsidRDefault="00000000" w:rsidRPr="00000000" w14:paraId="0000000C">
      <w:pPr>
        <w:widowControl w:val="0"/>
        <w:spacing w:after="0" w:before="240" w:lineRule="auto"/>
        <w:ind w:right="241"/>
        <w:rPr>
          <w:rFonts w:ascii="Verdana" w:cs="Verdana" w:eastAsia="Verdana" w:hAnsi="Verdana"/>
          <w:color w:val="000000"/>
        </w:rPr>
      </w:pPr>
      <w:r w:rsidDel="00000000" w:rsidR="00000000" w:rsidRPr="00000000">
        <w:rPr>
          <w:rFonts w:ascii="Verdana" w:cs="Verdana" w:eastAsia="Verdana" w:hAnsi="Verdana"/>
          <w:color w:val="000000"/>
          <w:rtl w:val="0"/>
        </w:rPr>
        <w:t xml:space="preserve">EARL OF READING, C.J.SALTER, and ACTON JJ.</w:t>
      </w:r>
    </w:p>
    <w:p w:rsidR="00000000" w:rsidDel="00000000" w:rsidP="00000000" w:rsidRDefault="00000000" w:rsidRPr="00000000" w14:paraId="0000000D">
      <w:pPr>
        <w:widowControl w:val="0"/>
        <w:spacing w:after="0" w:before="240" w:lineRule="auto"/>
        <w:ind w:right="241"/>
        <w:jc w:val="both"/>
        <w:rPr>
          <w:rFonts w:ascii="Verdana" w:cs="Verdana" w:eastAsia="Verdana" w:hAnsi="Verdana"/>
        </w:rPr>
      </w:pPr>
      <w:r w:rsidDel="00000000" w:rsidR="00000000" w:rsidRPr="00000000">
        <w:rPr>
          <w:rtl w:val="0"/>
        </w:rPr>
      </w:r>
    </w:p>
    <w:p w:rsidR="00000000" w:rsidDel="00000000" w:rsidP="00000000" w:rsidRDefault="00000000" w:rsidRPr="00000000" w14:paraId="0000000E">
      <w:pPr>
        <w:widowControl w:val="0"/>
        <w:spacing w:after="0" w:before="240" w:lineRule="auto"/>
        <w:ind w:right="241"/>
        <w:jc w:val="both"/>
        <w:rPr>
          <w:rFonts w:ascii="Verdana" w:cs="Verdana" w:eastAsia="Verdana" w:hAnsi="Verdana"/>
          <w:b w:val="1"/>
          <w:color w:val="000000"/>
        </w:rPr>
      </w:pPr>
      <w:r w:rsidDel="00000000" w:rsidR="00000000" w:rsidRPr="00000000">
        <w:rPr>
          <w:rFonts w:ascii="Verdana" w:cs="Verdana" w:eastAsia="Verdana" w:hAnsi="Verdana"/>
          <w:b w:val="1"/>
          <w:color w:val="000000"/>
          <w:rtl w:val="0"/>
        </w:rPr>
        <w:t xml:space="preserve">ORIGINATING COURT </w:t>
      </w:r>
    </w:p>
    <w:p w:rsidR="00000000" w:rsidDel="00000000" w:rsidP="00000000" w:rsidRDefault="00000000" w:rsidRPr="00000000" w14:paraId="0000000F">
      <w:pPr>
        <w:widowControl w:val="0"/>
        <w:spacing w:after="0" w:before="240" w:lineRule="auto"/>
        <w:ind w:right="241"/>
        <w:jc w:val="both"/>
        <w:rPr>
          <w:rFonts w:ascii="Verdana" w:cs="Verdana" w:eastAsia="Verdana" w:hAnsi="Verdana"/>
          <w:b w:val="1"/>
          <w:color w:val="000000"/>
        </w:rPr>
      </w:pPr>
      <w:r w:rsidDel="00000000" w:rsidR="00000000" w:rsidRPr="00000000">
        <w:rPr>
          <w:rFonts w:ascii="Verdana" w:cs="Verdana" w:eastAsia="Verdana" w:hAnsi="Verdana"/>
          <w:color w:val="000000"/>
          <w:rtl w:val="0"/>
        </w:rPr>
        <w:t xml:space="preserve">SUSSEX ASSIZES</w:t>
      </w:r>
      <w:r w:rsidDel="00000000" w:rsidR="00000000" w:rsidRPr="00000000">
        <w:rPr>
          <w:rtl w:val="0"/>
        </w:rPr>
      </w:r>
    </w:p>
    <w:p w:rsidR="00000000" w:rsidDel="00000000" w:rsidP="00000000" w:rsidRDefault="00000000" w:rsidRPr="00000000" w14:paraId="00000010">
      <w:pPr>
        <w:widowControl w:val="0"/>
        <w:spacing w:after="0" w:before="240" w:lineRule="auto"/>
        <w:ind w:right="241"/>
        <w:jc w:val="both"/>
        <w:rPr>
          <w:rFonts w:ascii="Verdana" w:cs="Verdana" w:eastAsia="Verdana" w:hAnsi="Verdana"/>
          <w:b w:val="1"/>
          <w:color w:val="000000"/>
        </w:rPr>
      </w:pPr>
      <w:r w:rsidDel="00000000" w:rsidR="00000000" w:rsidRPr="00000000">
        <w:rPr>
          <w:rtl w:val="0"/>
        </w:rPr>
      </w:r>
    </w:p>
    <w:p w:rsidR="00000000" w:rsidDel="00000000" w:rsidP="00000000" w:rsidRDefault="00000000" w:rsidRPr="00000000" w14:paraId="00000011">
      <w:pPr>
        <w:widowControl w:val="0"/>
        <w:spacing w:after="0" w:before="240" w:lineRule="auto"/>
        <w:ind w:right="241"/>
        <w:jc w:val="both"/>
        <w:rPr>
          <w:rFonts w:ascii="Verdana" w:cs="Verdana" w:eastAsia="Verdana" w:hAnsi="Verdana"/>
          <w:b w:val="1"/>
          <w:color w:val="000000"/>
        </w:rPr>
      </w:pPr>
      <w:r w:rsidDel="00000000" w:rsidR="00000000" w:rsidRPr="00000000">
        <w:rPr>
          <w:rFonts w:ascii="Verdana" w:cs="Verdana" w:eastAsia="Verdana" w:hAnsi="Verdana"/>
          <w:b w:val="1"/>
          <w:color w:val="000000"/>
          <w:rtl w:val="0"/>
        </w:rPr>
        <w:t xml:space="preserve">REPRESENTATION</w:t>
      </w:r>
    </w:p>
    <w:p w:rsidR="00000000" w:rsidDel="00000000" w:rsidP="00000000" w:rsidRDefault="00000000" w:rsidRPr="00000000" w14:paraId="00000012">
      <w:pPr>
        <w:widowControl w:val="0"/>
        <w:spacing w:after="0" w:before="240" w:lineRule="auto"/>
        <w:ind w:right="241"/>
        <w:jc w:val="both"/>
        <w:rPr>
          <w:rFonts w:ascii="Verdana" w:cs="Verdana" w:eastAsia="Verdana" w:hAnsi="Verdana"/>
          <w:color w:val="000000"/>
        </w:rPr>
      </w:pPr>
      <w:r w:rsidDel="00000000" w:rsidR="00000000" w:rsidRPr="00000000">
        <w:rPr>
          <w:rFonts w:ascii="Verdana" w:cs="Verdana" w:eastAsia="Verdana" w:hAnsi="Verdana"/>
          <w:color w:val="000000"/>
          <w:rtl w:val="0"/>
        </w:rPr>
        <w:t xml:space="preserve">J. G. HURST K.C. (J. FLOWERS with him) - for the prosecution. </w:t>
      </w:r>
    </w:p>
    <w:p w:rsidR="00000000" w:rsidDel="00000000" w:rsidP="00000000" w:rsidRDefault="00000000" w:rsidRPr="00000000" w14:paraId="00000013">
      <w:pPr>
        <w:widowControl w:val="0"/>
        <w:spacing w:after="0" w:before="240" w:lineRule="auto"/>
        <w:ind w:right="241"/>
        <w:jc w:val="both"/>
        <w:rPr>
          <w:rFonts w:ascii="Verdana" w:cs="Verdana" w:eastAsia="Verdana" w:hAnsi="Verdana"/>
          <w:color w:val="000000"/>
        </w:rPr>
      </w:pPr>
      <w:r w:rsidDel="00000000" w:rsidR="00000000" w:rsidRPr="00000000">
        <w:rPr>
          <w:rFonts w:ascii="Verdana" w:cs="Verdana" w:eastAsia="Verdana" w:hAnsi="Verdana"/>
          <w:color w:val="000000"/>
          <w:rtl w:val="0"/>
        </w:rPr>
        <w:t xml:space="preserve">DOUGHTY (GENTLE with him) - for the appellant. </w:t>
      </w:r>
    </w:p>
    <w:p w:rsidR="00000000" w:rsidDel="00000000" w:rsidP="00000000" w:rsidRDefault="00000000" w:rsidRPr="00000000" w14:paraId="00000014">
      <w:pPr>
        <w:widowControl w:val="0"/>
        <w:spacing w:after="0" w:before="240" w:lineRule="auto"/>
        <w:ind w:right="241"/>
        <w:jc w:val="both"/>
        <w:rPr>
          <w:rFonts w:ascii="Verdana" w:cs="Verdana" w:eastAsia="Verdana" w:hAnsi="Verdana"/>
        </w:rPr>
      </w:pPr>
      <w:r w:rsidDel="00000000" w:rsidR="00000000" w:rsidRPr="00000000">
        <w:rPr>
          <w:rFonts w:ascii="Verdana" w:cs="Verdana" w:eastAsia="Verdana" w:hAnsi="Verdana"/>
          <w:color w:val="000000"/>
          <w:rtl w:val="0"/>
        </w:rPr>
        <w:t xml:space="preserve">Solicitors for appellant: </w:t>
      </w:r>
      <w:r w:rsidDel="00000000" w:rsidR="00000000" w:rsidRPr="00000000">
        <w:rPr>
          <w:rFonts w:ascii="Verdana" w:cs="Verdana" w:eastAsia="Verdana" w:hAnsi="Verdana"/>
          <w:i w:val="1"/>
          <w:color w:val="000000"/>
          <w:rtl w:val="0"/>
        </w:rPr>
        <w:t xml:space="preserve">C. R. SAWYER AND WITHALL, for J. C. BUCKWELL, Brighton.</w:t>
      </w:r>
      <w:r w:rsidDel="00000000" w:rsidR="00000000" w:rsidRPr="00000000">
        <w:rPr>
          <w:rtl w:val="0"/>
        </w:rPr>
      </w:r>
    </w:p>
    <w:p w:rsidR="00000000" w:rsidDel="00000000" w:rsidP="00000000" w:rsidRDefault="00000000" w:rsidRPr="00000000" w14:paraId="00000015">
      <w:pPr>
        <w:widowControl w:val="0"/>
        <w:spacing w:after="0" w:before="240" w:lineRule="auto"/>
        <w:ind w:right="241"/>
        <w:jc w:val="both"/>
        <w:rPr>
          <w:rFonts w:ascii="Verdana" w:cs="Verdana" w:eastAsia="Verdana" w:hAnsi="Verdana"/>
        </w:rPr>
      </w:pPr>
      <w:r w:rsidDel="00000000" w:rsidR="00000000" w:rsidRPr="00000000">
        <w:rPr>
          <w:rFonts w:ascii="Verdana" w:cs="Verdana" w:eastAsia="Verdana" w:hAnsi="Verdana"/>
          <w:color w:val="000000"/>
          <w:rtl w:val="0"/>
        </w:rPr>
        <w:t xml:space="preserve">Solicitors for the Crown: </w:t>
      </w:r>
      <w:r w:rsidDel="00000000" w:rsidR="00000000" w:rsidRPr="00000000">
        <w:rPr>
          <w:rFonts w:ascii="Verdana" w:cs="Verdana" w:eastAsia="Verdana" w:hAnsi="Verdana"/>
          <w:i w:val="1"/>
          <w:color w:val="000000"/>
          <w:rtl w:val="0"/>
        </w:rPr>
        <w:t xml:space="preserve">J. K. Nye AND Donne, BRIGHTON.</w:t>
      </w:r>
      <w:r w:rsidDel="00000000" w:rsidR="00000000" w:rsidRPr="00000000">
        <w:rPr>
          <w:rtl w:val="0"/>
        </w:rPr>
      </w:r>
    </w:p>
    <w:p w:rsidR="00000000" w:rsidDel="00000000" w:rsidP="00000000" w:rsidRDefault="00000000" w:rsidRPr="00000000" w14:paraId="00000016">
      <w:pPr>
        <w:widowControl w:val="0"/>
        <w:spacing w:after="0" w:before="240" w:lineRule="auto"/>
        <w:ind w:right="241"/>
        <w:jc w:val="both"/>
        <w:rPr>
          <w:rFonts w:ascii="Verdana" w:cs="Verdana" w:eastAsia="Verdana" w:hAnsi="Verdana"/>
        </w:rPr>
      </w:pPr>
      <w:r w:rsidDel="00000000" w:rsidR="00000000" w:rsidRPr="00000000">
        <w:rPr>
          <w:rtl w:val="0"/>
        </w:rPr>
      </w:r>
    </w:p>
    <w:p w:rsidR="00000000" w:rsidDel="00000000" w:rsidP="00000000" w:rsidRDefault="00000000" w:rsidRPr="00000000" w14:paraId="00000017">
      <w:pPr>
        <w:widowControl w:val="0"/>
        <w:spacing w:after="0" w:before="240" w:lineRule="auto"/>
        <w:ind w:right="241"/>
        <w:jc w:val="both"/>
        <w:rPr>
          <w:rFonts w:ascii="Verdana" w:cs="Verdana" w:eastAsia="Verdana" w:hAnsi="Verdana"/>
          <w:b w:val="1"/>
          <w:color w:val="000000"/>
        </w:rPr>
      </w:pPr>
      <w:r w:rsidDel="00000000" w:rsidR="00000000" w:rsidRPr="00000000">
        <w:rPr>
          <w:rFonts w:ascii="Verdana" w:cs="Verdana" w:eastAsia="Verdana" w:hAnsi="Verdana"/>
          <w:b w:val="1"/>
          <w:color w:val="000000"/>
          <w:rtl w:val="0"/>
        </w:rPr>
        <w:t xml:space="preserve">ISSUES FROM THE CAUSE(S) OF ACTION </w:t>
      </w:r>
    </w:p>
    <w:p w:rsidR="00000000" w:rsidDel="00000000" w:rsidP="00000000" w:rsidRDefault="00000000" w:rsidRPr="00000000" w14:paraId="00000018">
      <w:pPr>
        <w:widowControl w:val="0"/>
        <w:spacing w:after="0" w:before="240" w:lineRule="auto"/>
        <w:ind w:right="241"/>
        <w:jc w:val="both"/>
        <w:rPr>
          <w:rFonts w:ascii="Verdana" w:cs="Verdana" w:eastAsia="Verdana" w:hAnsi="Verdana"/>
          <w:color w:val="000000"/>
        </w:rPr>
      </w:pPr>
      <w:r w:rsidDel="00000000" w:rsidR="00000000" w:rsidRPr="00000000">
        <w:rPr>
          <w:rFonts w:ascii="Verdana" w:cs="Verdana" w:eastAsia="Verdana" w:hAnsi="Verdana"/>
          <w:color w:val="000000"/>
          <w:rtl w:val="0"/>
        </w:rPr>
        <w:t xml:space="preserve">CRIMINAL LAW:– Unlawful killing - Using Instruments with intent to procure Abortion - Evidence of similar user on another Woman - Admissibility. </w:t>
      </w:r>
    </w:p>
    <w:p w:rsidR="00000000" w:rsidDel="00000000" w:rsidP="00000000" w:rsidRDefault="00000000" w:rsidRPr="00000000" w14:paraId="00000019">
      <w:pPr>
        <w:widowControl w:val="0"/>
        <w:spacing w:after="0" w:before="240" w:lineRule="auto"/>
        <w:ind w:right="241"/>
        <w:jc w:val="both"/>
        <w:rPr>
          <w:rFonts w:ascii="Verdana" w:cs="Verdana" w:eastAsia="Verdana" w:hAnsi="Verdana"/>
          <w:color w:val="000000"/>
        </w:rPr>
      </w:pPr>
      <w:r w:rsidDel="00000000" w:rsidR="00000000" w:rsidRPr="00000000">
        <w:rPr>
          <w:rFonts w:ascii="Verdana" w:cs="Verdana" w:eastAsia="Verdana" w:hAnsi="Verdana"/>
          <w:color w:val="000000"/>
          <w:rtl w:val="0"/>
        </w:rPr>
        <w:t xml:space="preserve">CHILDREN AND WOMEN LAW:-  Women and Healthcare – Women and abortion - Abortion procured by husband of deceased woman to terminate pregnancy arising from her adultery – unlawful and felonious killing arising therefrom – Relevant considerations </w:t>
      </w:r>
    </w:p>
    <w:p w:rsidR="00000000" w:rsidDel="00000000" w:rsidP="00000000" w:rsidRDefault="00000000" w:rsidRPr="00000000" w14:paraId="0000001A">
      <w:pPr>
        <w:widowControl w:val="0"/>
        <w:spacing w:after="0" w:before="240" w:lineRule="auto"/>
        <w:ind w:right="241"/>
        <w:jc w:val="both"/>
        <w:rPr>
          <w:rFonts w:ascii="Verdana" w:cs="Verdana" w:eastAsia="Verdana" w:hAnsi="Verdana"/>
          <w:color w:val="000000"/>
        </w:rPr>
      </w:pPr>
      <w:r w:rsidDel="00000000" w:rsidR="00000000" w:rsidRPr="00000000">
        <w:rPr>
          <w:rFonts w:ascii="Verdana" w:cs="Verdana" w:eastAsia="Verdana" w:hAnsi="Verdana"/>
          <w:color w:val="000000"/>
          <w:rtl w:val="0"/>
        </w:rPr>
        <w:t xml:space="preserve">HEALTHCARE LAW:- Care of pregnant women – abortion – using certain instruments to procure the miscarriage of a certain woman - relevant considerations </w:t>
      </w:r>
    </w:p>
    <w:p w:rsidR="00000000" w:rsidDel="00000000" w:rsidP="00000000" w:rsidRDefault="00000000" w:rsidRPr="00000000" w14:paraId="0000001B">
      <w:pPr>
        <w:widowControl w:val="0"/>
        <w:spacing w:after="0" w:before="240" w:lineRule="auto"/>
        <w:ind w:right="241"/>
        <w:jc w:val="both"/>
        <w:rPr>
          <w:rFonts w:ascii="Verdana" w:cs="Verdana" w:eastAsia="Verdana" w:hAnsi="Verdana"/>
          <w:b w:val="1"/>
          <w:color w:val="000000"/>
        </w:rPr>
      </w:pPr>
      <w:r w:rsidDel="00000000" w:rsidR="00000000" w:rsidRPr="00000000">
        <w:rPr>
          <w:rtl w:val="0"/>
        </w:rPr>
      </w:r>
    </w:p>
    <w:p w:rsidR="00000000" w:rsidDel="00000000" w:rsidP="00000000" w:rsidRDefault="00000000" w:rsidRPr="00000000" w14:paraId="0000001C">
      <w:pPr>
        <w:widowControl w:val="0"/>
        <w:spacing w:after="0" w:before="240" w:lineRule="auto"/>
        <w:ind w:right="241"/>
        <w:jc w:val="both"/>
        <w:rPr>
          <w:rFonts w:ascii="Verdana" w:cs="Verdana" w:eastAsia="Verdana" w:hAnsi="Verdana"/>
          <w:b w:val="1"/>
          <w:color w:val="000000"/>
        </w:rPr>
      </w:pPr>
      <w:r w:rsidDel="00000000" w:rsidR="00000000" w:rsidRPr="00000000">
        <w:rPr>
          <w:rFonts w:ascii="Verdana" w:cs="Verdana" w:eastAsia="Verdana" w:hAnsi="Verdana"/>
          <w:b w:val="1"/>
          <w:color w:val="000000"/>
          <w:rtl w:val="0"/>
        </w:rPr>
        <w:t xml:space="preserve">PRACTICE AND PROCEDURE ISSUES </w:t>
      </w:r>
    </w:p>
    <w:p w:rsidR="00000000" w:rsidDel="00000000" w:rsidP="00000000" w:rsidRDefault="00000000" w:rsidRPr="00000000" w14:paraId="0000001D">
      <w:pPr>
        <w:widowControl w:val="0"/>
        <w:spacing w:after="0" w:before="240" w:lineRule="auto"/>
        <w:ind w:right="241"/>
        <w:jc w:val="both"/>
        <w:rPr>
          <w:rFonts w:ascii="Verdana" w:cs="Verdana" w:eastAsia="Verdana" w:hAnsi="Verdana"/>
          <w:color w:val="000000"/>
        </w:rPr>
      </w:pPr>
      <w:r w:rsidDel="00000000" w:rsidR="00000000" w:rsidRPr="00000000">
        <w:rPr>
          <w:rFonts w:ascii="Verdana" w:cs="Verdana" w:eastAsia="Verdana" w:hAnsi="Verdana"/>
          <w:color w:val="000000"/>
          <w:rtl w:val="0"/>
        </w:rPr>
        <w:t xml:space="preserve">EVIDENCE:- Admissibility – Objection to the admission of evidence – when sustainable </w:t>
      </w:r>
    </w:p>
    <w:p w:rsidR="00000000" w:rsidDel="00000000" w:rsidP="00000000" w:rsidRDefault="00000000" w:rsidRPr="00000000" w14:paraId="0000001E">
      <w:pPr>
        <w:widowControl w:val="0"/>
        <w:spacing w:after="0" w:before="240" w:lineRule="auto"/>
        <w:ind w:right="241"/>
        <w:jc w:val="both"/>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01F">
      <w:pPr>
        <w:widowControl w:val="0"/>
        <w:spacing w:after="0" w:before="240" w:lineRule="auto"/>
        <w:ind w:right="241"/>
        <w:jc w:val="both"/>
        <w:rPr>
          <w:rFonts w:ascii="Verdana" w:cs="Verdana" w:eastAsia="Verdana" w:hAnsi="Verdana"/>
          <w:b w:val="1"/>
          <w:color w:val="000000"/>
        </w:rPr>
      </w:pPr>
      <w:r w:rsidDel="00000000" w:rsidR="00000000" w:rsidRPr="00000000">
        <w:rPr>
          <w:rFonts w:ascii="Verdana" w:cs="Verdana" w:eastAsia="Verdana" w:hAnsi="Verdana"/>
          <w:b w:val="1"/>
          <w:color w:val="000000"/>
          <w:rtl w:val="0"/>
        </w:rPr>
        <w:t xml:space="preserve">CASE SUMMARY</w:t>
      </w:r>
    </w:p>
    <w:p w:rsidR="00000000" w:rsidDel="00000000" w:rsidP="00000000" w:rsidRDefault="00000000" w:rsidRPr="00000000" w14:paraId="00000020">
      <w:pPr>
        <w:widowControl w:val="0"/>
        <w:spacing w:after="0" w:before="240" w:lineRule="auto"/>
        <w:ind w:right="241"/>
        <w:jc w:val="both"/>
        <w:rPr>
          <w:rFonts w:ascii="Verdana" w:cs="Verdana" w:eastAsia="Verdana" w:hAnsi="Verdana"/>
          <w:color w:val="000000"/>
        </w:rPr>
      </w:pPr>
      <w:r w:rsidDel="00000000" w:rsidR="00000000" w:rsidRPr="00000000">
        <w:rPr>
          <w:rFonts w:ascii="Verdana" w:cs="Verdana" w:eastAsia="Verdana" w:hAnsi="Verdana"/>
          <w:color w:val="000000"/>
          <w:rtl w:val="0"/>
        </w:rPr>
        <w:t xml:space="preserve">ORIGINATING FACTS/CLAIMS</w:t>
      </w:r>
    </w:p>
    <w:p w:rsidR="00000000" w:rsidDel="00000000" w:rsidP="00000000" w:rsidRDefault="00000000" w:rsidRPr="00000000" w14:paraId="00000021">
      <w:pPr>
        <w:widowControl w:val="0"/>
        <w:spacing w:after="0" w:before="240" w:lineRule="auto"/>
        <w:ind w:right="241"/>
        <w:jc w:val="both"/>
        <w:rPr>
          <w:rFonts w:ascii="Verdana" w:cs="Verdana" w:eastAsia="Verdana" w:hAnsi="Verdana"/>
        </w:rPr>
      </w:pPr>
      <w:r w:rsidDel="00000000" w:rsidR="00000000" w:rsidRPr="00000000">
        <w:rPr>
          <w:rFonts w:ascii="Verdana" w:cs="Verdana" w:eastAsia="Verdana" w:hAnsi="Verdana"/>
          <w:color w:val="000000"/>
          <w:rtl w:val="0"/>
        </w:rPr>
        <w:t xml:space="preserve">The appellant was indicted for unlawfully killing, and for feloniously using certain instruments to procure the miscarriage of, a certain woman. At the trial, evidence was given for the prosecution by the husband of the woman that, having obtained the appellant's name and address from another woman, he went to the appellant's house and arranged with her for his wife to go there in order that the appellant might perform an operation on her which would procure a miscarriage, and that his wife subsequently went to the appellant's house and afterwards had a miscarriage and died of septic abortion. The evidence of the other woman was tendered by the prosecution to show that the appellant had performed a similar operation on her some months previously. The evidence was objected to on the ground that the defence was a denial of the husband's evidence and that the appellant had never seen the deceased woman. The evidence was admitted, and the appellant was convicted:- </w:t>
      </w:r>
      <w:r w:rsidDel="00000000" w:rsidR="00000000" w:rsidRPr="00000000">
        <w:rPr>
          <w:rtl w:val="0"/>
        </w:rPr>
      </w:r>
    </w:p>
    <w:p w:rsidR="00000000" w:rsidDel="00000000" w:rsidP="00000000" w:rsidRDefault="00000000" w:rsidRPr="00000000" w14:paraId="00000022">
      <w:pPr>
        <w:widowControl w:val="0"/>
        <w:spacing w:after="0" w:before="240" w:lineRule="auto"/>
        <w:ind w:right="241"/>
        <w:jc w:val="both"/>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023">
      <w:pPr>
        <w:widowControl w:val="0"/>
        <w:spacing w:after="0" w:before="240" w:lineRule="auto"/>
        <w:ind w:right="241"/>
        <w:jc w:val="both"/>
        <w:rPr>
          <w:rFonts w:ascii="Verdana" w:cs="Verdana" w:eastAsia="Verdana" w:hAnsi="Verdana"/>
          <w:color w:val="000000"/>
        </w:rPr>
      </w:pPr>
      <w:r w:rsidDel="00000000" w:rsidR="00000000" w:rsidRPr="00000000">
        <w:rPr>
          <w:rFonts w:ascii="Verdana" w:cs="Verdana" w:eastAsia="Verdana" w:hAnsi="Verdana"/>
          <w:color w:val="000000"/>
          <w:rtl w:val="0"/>
        </w:rPr>
        <w:t xml:space="preserve">DECISION APPEALED AGAINST</w:t>
      </w:r>
    </w:p>
    <w:p w:rsidR="00000000" w:rsidDel="00000000" w:rsidP="00000000" w:rsidRDefault="00000000" w:rsidRPr="00000000" w14:paraId="00000024">
      <w:pPr>
        <w:widowControl w:val="0"/>
        <w:spacing w:after="0" w:before="240" w:lineRule="auto"/>
        <w:ind w:right="241"/>
        <w:jc w:val="both"/>
        <w:rPr>
          <w:rFonts w:ascii="Verdana" w:cs="Verdana" w:eastAsia="Verdana" w:hAnsi="Verdana"/>
        </w:rPr>
      </w:pPr>
      <w:r w:rsidDel="00000000" w:rsidR="00000000" w:rsidRPr="00000000">
        <w:rPr>
          <w:rFonts w:ascii="Verdana" w:cs="Verdana" w:eastAsia="Verdana" w:hAnsi="Verdana"/>
          <w:color w:val="000000"/>
          <w:rtl w:val="0"/>
        </w:rPr>
        <w:t xml:space="preserve">The appellant was found guilty and was sentenced to eighteen months' imprisonment with hard labour. </w:t>
      </w:r>
      <w:r w:rsidDel="00000000" w:rsidR="00000000" w:rsidRPr="00000000">
        <w:rPr>
          <w:rtl w:val="0"/>
        </w:rPr>
      </w:r>
    </w:p>
    <w:p w:rsidR="00000000" w:rsidDel="00000000" w:rsidP="00000000" w:rsidRDefault="00000000" w:rsidRPr="00000000" w14:paraId="00000025">
      <w:pPr>
        <w:widowControl w:val="0"/>
        <w:spacing w:after="0" w:before="240" w:lineRule="auto"/>
        <w:ind w:right="241"/>
        <w:jc w:val="both"/>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026">
      <w:pPr>
        <w:widowControl w:val="0"/>
        <w:spacing w:after="0" w:before="240" w:lineRule="auto"/>
        <w:ind w:right="241"/>
        <w:jc w:val="both"/>
        <w:rPr>
          <w:rFonts w:ascii="Verdana" w:cs="Verdana" w:eastAsia="Verdana" w:hAnsi="Verdana"/>
          <w:color w:val="000000"/>
        </w:rPr>
      </w:pPr>
      <w:r w:rsidDel="00000000" w:rsidR="00000000" w:rsidRPr="00000000">
        <w:rPr>
          <w:rFonts w:ascii="Verdana" w:cs="Verdana" w:eastAsia="Verdana" w:hAnsi="Verdana"/>
          <w:color w:val="000000"/>
          <w:rtl w:val="0"/>
        </w:rPr>
        <w:t xml:space="preserve">ISSUE FOR DETERMINATION OF APPEAL</w:t>
      </w:r>
    </w:p>
    <w:p w:rsidR="00000000" w:rsidDel="00000000" w:rsidP="00000000" w:rsidRDefault="00000000" w:rsidRPr="00000000" w14:paraId="00000027">
      <w:pPr>
        <w:widowControl w:val="0"/>
        <w:spacing w:after="0" w:before="240" w:lineRule="auto"/>
        <w:ind w:right="241"/>
        <w:jc w:val="both"/>
        <w:rPr>
          <w:rFonts w:ascii="Verdana" w:cs="Verdana" w:eastAsia="Verdana" w:hAnsi="Verdana"/>
          <w:color w:val="000000"/>
        </w:rPr>
      </w:pPr>
      <w:r w:rsidDel="00000000" w:rsidR="00000000" w:rsidRPr="00000000">
        <w:rPr>
          <w:rFonts w:ascii="Verdana" w:cs="Verdana" w:eastAsia="Verdana" w:hAnsi="Verdana"/>
          <w:color w:val="000000"/>
          <w:rtl w:val="0"/>
        </w:rPr>
        <w:t xml:space="preserve">1.</w:t>
        <w:tab/>
        <w:t xml:space="preserve">Whether the prosecutor established that the appellant had ever performed any operation on the deceased person; </w:t>
      </w:r>
    </w:p>
    <w:p w:rsidR="00000000" w:rsidDel="00000000" w:rsidP="00000000" w:rsidRDefault="00000000" w:rsidRPr="00000000" w14:paraId="00000028">
      <w:pPr>
        <w:widowControl w:val="0"/>
        <w:spacing w:after="0" w:before="240" w:lineRule="auto"/>
        <w:ind w:right="241"/>
        <w:jc w:val="both"/>
        <w:rPr>
          <w:rFonts w:ascii="Verdana" w:cs="Verdana" w:eastAsia="Verdana" w:hAnsi="Verdana"/>
          <w:color w:val="000000"/>
        </w:rPr>
      </w:pPr>
      <w:r w:rsidDel="00000000" w:rsidR="00000000" w:rsidRPr="00000000">
        <w:rPr>
          <w:rFonts w:ascii="Verdana" w:cs="Verdana" w:eastAsia="Verdana" w:hAnsi="Verdana"/>
          <w:color w:val="000000"/>
          <w:rtl w:val="0"/>
        </w:rPr>
        <w:t xml:space="preserve">2.</w:t>
        <w:tab/>
        <w:t xml:space="preserve">Whether evidence to show that an accused person has performed other illegal operations is only admissible where </w:t>
        <w:tab/>
        <w:t xml:space="preserve">the prosecution seeks to prove a system or course of conduct, or to rebut a suggestion of accident or mistake, or to </w:t>
        <w:tab/>
        <w:t xml:space="preserve">prove knowledge by the prisoner of some fact; </w:t>
      </w:r>
    </w:p>
    <w:p w:rsidR="00000000" w:rsidDel="00000000" w:rsidP="00000000" w:rsidRDefault="00000000" w:rsidRPr="00000000" w14:paraId="00000029">
      <w:pPr>
        <w:widowControl w:val="0"/>
        <w:spacing w:after="0" w:before="240" w:lineRule="auto"/>
        <w:ind w:right="241"/>
        <w:jc w:val="both"/>
        <w:rPr>
          <w:rFonts w:ascii="Verdana" w:cs="Verdana" w:eastAsia="Verdana" w:hAnsi="Verdana"/>
        </w:rPr>
      </w:pPr>
      <w:r w:rsidDel="00000000" w:rsidR="00000000" w:rsidRPr="00000000">
        <w:rPr>
          <w:rFonts w:ascii="Verdana" w:cs="Verdana" w:eastAsia="Verdana" w:hAnsi="Verdana"/>
          <w:color w:val="000000"/>
          <w:rtl w:val="0"/>
        </w:rPr>
        <w:t xml:space="preserve">3.</w:t>
        <w:tab/>
        <w:t xml:space="preserve">Whether the evidence of Purcell against the accused was not that of an accomplice, deserving of corroboration. </w:t>
      </w:r>
      <w:r w:rsidDel="00000000" w:rsidR="00000000" w:rsidRPr="00000000">
        <w:rPr>
          <w:rtl w:val="0"/>
        </w:rPr>
      </w:r>
    </w:p>
    <w:p w:rsidR="00000000" w:rsidDel="00000000" w:rsidP="00000000" w:rsidRDefault="00000000" w:rsidRPr="00000000" w14:paraId="0000002A">
      <w:pPr>
        <w:widowControl w:val="0"/>
        <w:spacing w:after="0" w:before="240" w:lineRule="auto"/>
        <w:ind w:right="241"/>
        <w:jc w:val="both"/>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02B">
      <w:pPr>
        <w:widowControl w:val="0"/>
        <w:spacing w:after="0" w:before="240" w:lineRule="auto"/>
        <w:ind w:right="241"/>
        <w:jc w:val="both"/>
        <w:rPr>
          <w:rFonts w:ascii="Verdana" w:cs="Verdana" w:eastAsia="Verdana" w:hAnsi="Verdana"/>
          <w:color w:val="000000"/>
        </w:rPr>
      </w:pPr>
      <w:r w:rsidDel="00000000" w:rsidR="00000000" w:rsidRPr="00000000">
        <w:rPr>
          <w:rFonts w:ascii="Verdana" w:cs="Verdana" w:eastAsia="Verdana" w:hAnsi="Verdana"/>
          <w:color w:val="000000"/>
          <w:rtl w:val="0"/>
        </w:rPr>
        <w:t xml:space="preserve">JUDGMENT OF THE COURT OF CRIMIANL APPEAL</w:t>
      </w:r>
    </w:p>
    <w:p w:rsidR="00000000" w:rsidDel="00000000" w:rsidP="00000000" w:rsidRDefault="00000000" w:rsidRPr="00000000" w14:paraId="0000002C">
      <w:pPr>
        <w:widowControl w:val="0"/>
        <w:spacing w:after="0" w:before="240" w:lineRule="auto"/>
        <w:ind w:right="241"/>
        <w:jc w:val="both"/>
        <w:rPr>
          <w:rFonts w:ascii="Verdana" w:cs="Verdana" w:eastAsia="Verdana" w:hAnsi="Verdana"/>
        </w:rPr>
      </w:pPr>
      <w:r w:rsidDel="00000000" w:rsidR="00000000" w:rsidRPr="00000000">
        <w:rPr>
          <w:rFonts w:ascii="Verdana" w:cs="Verdana" w:eastAsia="Verdana" w:hAnsi="Verdana"/>
          <w:i w:val="1"/>
          <w:color w:val="000000"/>
          <w:rtl w:val="0"/>
        </w:rPr>
        <w:t xml:space="preserve">Held,</w:t>
      </w:r>
      <w:r w:rsidDel="00000000" w:rsidR="00000000" w:rsidRPr="00000000">
        <w:rPr>
          <w:rFonts w:ascii="Verdana" w:cs="Verdana" w:eastAsia="Verdana" w:hAnsi="Verdana"/>
          <w:color w:val="000000"/>
          <w:rtl w:val="0"/>
        </w:rPr>
        <w:t xml:space="preserve"> that the evidence was rightly admitted, as it tended to corroborate the husband's evidence and was, therefore, relevant to an issue before the jury, and that the conviction must be upheld. </w:t>
      </w:r>
      <w:r w:rsidDel="00000000" w:rsidR="00000000" w:rsidRPr="00000000">
        <w:rPr>
          <w:rtl w:val="0"/>
        </w:rPr>
      </w:r>
    </w:p>
    <w:p w:rsidR="00000000" w:rsidDel="00000000" w:rsidP="00000000" w:rsidRDefault="00000000" w:rsidRPr="00000000" w14:paraId="0000002D">
      <w:pPr>
        <w:widowControl w:val="0"/>
        <w:spacing w:after="0" w:before="240" w:lineRule="auto"/>
        <w:ind w:right="241"/>
        <w:jc w:val="both"/>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02E">
      <w:pPr>
        <w:widowControl w:val="0"/>
        <w:spacing w:after="0" w:before="240" w:lineRule="auto"/>
        <w:ind w:left="241" w:right="241" w:firstLine="144"/>
        <w:jc w:val="both"/>
        <w:rPr>
          <w:rFonts w:ascii="Verdana" w:cs="Verdana" w:eastAsia="Verdana" w:hAnsi="Verdana"/>
        </w:rPr>
      </w:pPr>
      <w:r w:rsidDel="00000000" w:rsidR="00000000" w:rsidRPr="00000000">
        <w:rPr>
          <w:rFonts w:ascii="Verdana" w:cs="Verdana" w:eastAsia="Verdana" w:hAnsi="Verdana"/>
          <w:color w:val="000000"/>
          <w:rtl w:val="0"/>
        </w:rPr>
        <w:t xml:space="preserve"> </w:t>
      </w:r>
      <w:r w:rsidDel="00000000" w:rsidR="00000000" w:rsidRPr="00000000">
        <w:rPr>
          <w:rtl w:val="0"/>
        </w:rPr>
      </w:r>
    </w:p>
    <w:p w:rsidR="00000000" w:rsidDel="00000000" w:rsidP="00000000" w:rsidRDefault="00000000" w:rsidRPr="00000000" w14:paraId="0000002F">
      <w:pPr>
        <w:widowControl w:val="0"/>
        <w:spacing w:after="0" w:before="240" w:lineRule="auto"/>
        <w:ind w:right="241"/>
        <w:jc w:val="both"/>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030">
      <w:pPr>
        <w:widowControl w:val="0"/>
        <w:spacing w:after="0" w:before="240" w:lineRule="auto"/>
        <w:ind w:right="241"/>
        <w:jc w:val="both"/>
        <w:rPr>
          <w:rFonts w:ascii="Verdana" w:cs="Verdana" w:eastAsia="Verdana" w:hAnsi="Verdana"/>
          <w:b w:val="1"/>
          <w:color w:val="000000"/>
        </w:rPr>
      </w:pPr>
      <w:r w:rsidDel="00000000" w:rsidR="00000000" w:rsidRPr="00000000">
        <w:rPr>
          <w:rFonts w:ascii="Verdana" w:cs="Verdana" w:eastAsia="Verdana" w:hAnsi="Verdana"/>
          <w:b w:val="1"/>
          <w:color w:val="000000"/>
          <w:rtl w:val="0"/>
        </w:rPr>
        <w:t xml:space="preserve">MAIN JUDGMENT</w:t>
      </w:r>
    </w:p>
    <w:p w:rsidR="00000000" w:rsidDel="00000000" w:rsidP="00000000" w:rsidRDefault="00000000" w:rsidRPr="00000000" w14:paraId="00000031">
      <w:pPr>
        <w:widowControl w:val="0"/>
        <w:spacing w:after="0" w:before="240" w:lineRule="auto"/>
        <w:ind w:right="241"/>
        <w:jc w:val="both"/>
        <w:rPr>
          <w:rFonts w:ascii="Verdana" w:cs="Verdana" w:eastAsia="Verdana" w:hAnsi="Verdana"/>
        </w:rPr>
      </w:pPr>
      <w:r w:rsidDel="00000000" w:rsidR="00000000" w:rsidRPr="00000000">
        <w:rPr>
          <w:rFonts w:ascii="Verdana" w:cs="Verdana" w:eastAsia="Verdana" w:hAnsi="Verdana"/>
          <w:color w:val="000000"/>
          <w:rtl w:val="0"/>
        </w:rPr>
        <w:t xml:space="preserve">The judgment of the Court (Earl of Reading C.J., Salter and Acton JJ.) was delivered by:- </w:t>
      </w:r>
      <w:r w:rsidDel="00000000" w:rsidR="00000000" w:rsidRPr="00000000">
        <w:rPr>
          <w:rtl w:val="0"/>
        </w:rPr>
      </w:r>
    </w:p>
    <w:p w:rsidR="00000000" w:rsidDel="00000000" w:rsidP="00000000" w:rsidRDefault="00000000" w:rsidRPr="00000000" w14:paraId="00000032">
      <w:pPr>
        <w:widowControl w:val="0"/>
        <w:spacing w:after="0" w:before="240" w:lineRule="auto"/>
        <w:ind w:right="241"/>
        <w:jc w:val="both"/>
        <w:rPr>
          <w:rFonts w:ascii="Verdana" w:cs="Verdana" w:eastAsia="Verdana" w:hAnsi="Verdana"/>
          <w:color w:val="000000"/>
        </w:rPr>
      </w:pPr>
      <w:r w:rsidDel="00000000" w:rsidR="00000000" w:rsidRPr="00000000">
        <w:rPr>
          <w:rFonts w:ascii="Verdana" w:cs="Verdana" w:eastAsia="Verdana" w:hAnsi="Verdana"/>
          <w:b w:val="1"/>
          <w:color w:val="000000"/>
          <w:rtl w:val="0"/>
        </w:rPr>
        <w:t xml:space="preserve">EARL OF READING C.J.  </w:t>
      </w:r>
      <w:r w:rsidDel="00000000" w:rsidR="00000000" w:rsidRPr="00000000">
        <w:rPr>
          <w:rFonts w:ascii="Verdana" w:cs="Verdana" w:eastAsia="Verdana" w:hAnsi="Verdana"/>
          <w:color w:val="000000"/>
          <w:rtl w:val="0"/>
        </w:rPr>
        <w:t xml:space="preserve">who, after stating the facts, said: </w:t>
      </w:r>
    </w:p>
    <w:p w:rsidR="00000000" w:rsidDel="00000000" w:rsidP="00000000" w:rsidRDefault="00000000" w:rsidRPr="00000000" w14:paraId="00000033">
      <w:pPr>
        <w:widowControl w:val="0"/>
        <w:spacing w:after="0" w:before="240" w:lineRule="auto"/>
        <w:ind w:right="241"/>
        <w:jc w:val="both"/>
        <w:rPr>
          <w:rFonts w:ascii="Verdana" w:cs="Verdana" w:eastAsia="Verdana" w:hAnsi="Verdana"/>
          <w:b w:val="1"/>
          <w:color w:val="000000"/>
        </w:rPr>
      </w:pPr>
      <w:r w:rsidDel="00000000" w:rsidR="00000000" w:rsidRPr="00000000">
        <w:rPr>
          <w:rFonts w:ascii="Verdana" w:cs="Verdana" w:eastAsia="Verdana" w:hAnsi="Verdana"/>
          <w:color w:val="000000"/>
          <w:rtl w:val="0"/>
        </w:rPr>
        <w:t xml:space="preserve">The defence set up at the trial was that the appellant had not performed any operation, either lawful or unlawful, upon Mrs. Purcell, and that after her interview with Mr. Purcell on the morning of June 18 she never saw him again, and that she had never seen Mrs. Purcell on any occasion. The appellant gave a definite denial of the statements made by Purcell in his evidence as to what took place at the first interview, and therefore the truth or untruth of Purcell's account of that interview was put in issue. If Purcell's evidence was believed there could be no doubt as to the appellant's guilt, and indeed that was not disputed. It was therefore very important to ascertain what in fact took place at the first interview. Evidence is admissible if it tends to prove that the prisoner has committed the act charged. One step in proof of the act charged against the appellant was that Purcell went to her house one morning to arrange with her for her performance of an illegal operation on Purcell's wife, and that he went there in consequence of information which he had received from Mrs. Type. The evidence of Mrs. Type established that she had given the appellant's name and address to Purcell, and that a similar operation had been performed on her by the appellant in 1919. It is contended by counsel for the appellant that Mrs. Type's evidence was inadmissible on the principle laid down in </w:t>
      </w:r>
      <w:r w:rsidDel="00000000" w:rsidR="00000000" w:rsidRPr="00000000">
        <w:rPr>
          <w:rFonts w:ascii="Verdana" w:cs="Verdana" w:eastAsia="Verdana" w:hAnsi="Verdana"/>
          <w:i w:val="1"/>
          <w:color w:val="000000"/>
          <w:rtl w:val="0"/>
        </w:rPr>
        <w:t xml:space="preserve">Makin's Case</w:t>
      </w:r>
      <w:r w:rsidDel="00000000" w:rsidR="00000000" w:rsidRPr="00000000">
        <w:rPr>
          <w:rFonts w:ascii="Verdana" w:cs="Verdana" w:eastAsia="Verdana" w:hAnsi="Verdana"/>
          <w:color w:val="000000"/>
          <w:rtl w:val="0"/>
        </w:rPr>
        <w:t xml:space="preserve"> (1), </w:t>
      </w:r>
      <w:r w:rsidDel="00000000" w:rsidR="00000000" w:rsidRPr="00000000">
        <w:rPr>
          <w:rFonts w:ascii="Verdana" w:cs="Verdana" w:eastAsia="Verdana" w:hAnsi="Verdana"/>
          <w:i w:val="1"/>
          <w:color w:val="000000"/>
          <w:rtl w:val="0"/>
        </w:rPr>
        <w:t xml:space="preserve">Rex v. Bond</w:t>
      </w:r>
      <w:r w:rsidDel="00000000" w:rsidR="00000000" w:rsidRPr="00000000">
        <w:rPr>
          <w:rFonts w:ascii="Verdana" w:cs="Verdana" w:eastAsia="Verdana" w:hAnsi="Verdana"/>
          <w:color w:val="000000"/>
          <w:rtl w:val="0"/>
        </w:rPr>
        <w:t xml:space="preserve"> (2) and other cases. In the present case we are not intending to deal with the broad general principle that has been laid down in those cases, and nothing that is said in this judgment is intended to extend that principle. In </w:t>
      </w:r>
      <w:r w:rsidDel="00000000" w:rsidR="00000000" w:rsidRPr="00000000">
        <w:rPr>
          <w:rFonts w:ascii="Verdana" w:cs="Verdana" w:eastAsia="Verdana" w:hAnsi="Verdana"/>
          <w:i w:val="1"/>
          <w:color w:val="000000"/>
          <w:rtl w:val="0"/>
        </w:rPr>
        <w:t xml:space="preserve">Makin's Case</w:t>
      </w:r>
      <w:r w:rsidDel="00000000" w:rsidR="00000000" w:rsidRPr="00000000">
        <w:rPr>
          <w:rFonts w:ascii="Verdana" w:cs="Verdana" w:eastAsia="Verdana" w:hAnsi="Verdana"/>
          <w:color w:val="000000"/>
          <w:rtl w:val="0"/>
        </w:rPr>
        <w:t xml:space="preserve"> (3) the Lord Chancellor said: "The mere fact that the evidence adduced tends to show the commission of other crimes does not render it inadmissible if it be relevant to an issue before the jury." This Court has said, notably in </w:t>
      </w:r>
      <w:r w:rsidDel="00000000" w:rsidR="00000000" w:rsidRPr="00000000">
        <w:rPr>
          <w:rFonts w:ascii="Verdana" w:cs="Verdana" w:eastAsia="Verdana" w:hAnsi="Verdana"/>
          <w:i w:val="1"/>
          <w:color w:val="000000"/>
          <w:rtl w:val="0"/>
        </w:rPr>
        <w:t xml:space="preserve">Rex v. Shellaker</w:t>
      </w:r>
      <w:r w:rsidDel="00000000" w:rsidR="00000000" w:rsidRPr="00000000">
        <w:rPr>
          <w:rFonts w:ascii="Verdana" w:cs="Verdana" w:eastAsia="Verdana" w:hAnsi="Verdana"/>
          <w:color w:val="000000"/>
          <w:rtl w:val="0"/>
        </w:rPr>
        <w:t xml:space="preserve"> (4) where the principle as stated by Channell J. in </w:t>
      </w:r>
      <w:r w:rsidDel="00000000" w:rsidR="00000000" w:rsidRPr="00000000">
        <w:rPr>
          <w:rFonts w:ascii="Verdana" w:cs="Verdana" w:eastAsia="Verdana" w:hAnsi="Verdana"/>
          <w:i w:val="1"/>
          <w:color w:val="000000"/>
          <w:rtl w:val="0"/>
        </w:rPr>
        <w:t xml:space="preserve">Reg. v. Ollis</w:t>
      </w:r>
      <w:r w:rsidDel="00000000" w:rsidR="00000000" w:rsidRPr="00000000">
        <w:rPr>
          <w:rFonts w:ascii="Verdana" w:cs="Verdana" w:eastAsia="Verdana" w:hAnsi="Verdana"/>
          <w:color w:val="000000"/>
          <w:rtl w:val="0"/>
        </w:rPr>
        <w:t xml:space="preserve"> (1) was quoted, that the question in each case is whether on the facts the evidence is admissible according to the established principles of law. There may be cases where, as was said in </w:t>
      </w:r>
      <w:r w:rsidDel="00000000" w:rsidR="00000000" w:rsidRPr="00000000">
        <w:rPr>
          <w:rFonts w:ascii="Verdana" w:cs="Verdana" w:eastAsia="Verdana" w:hAnsi="Verdana"/>
          <w:i w:val="1"/>
          <w:color w:val="000000"/>
          <w:rtl w:val="0"/>
        </w:rPr>
        <w:t xml:space="preserve">Rex v. Shellaker</w:t>
      </w:r>
      <w:r w:rsidDel="00000000" w:rsidR="00000000" w:rsidRPr="00000000">
        <w:rPr>
          <w:rFonts w:ascii="Verdana" w:cs="Verdana" w:eastAsia="Verdana" w:hAnsi="Verdana"/>
          <w:color w:val="000000"/>
          <w:rtl w:val="0"/>
        </w:rPr>
        <w:t xml:space="preserve"> (2), "though in strictness the evidence is admissible, the judge may be of opinion that it is of so little real value, and yet indirectly so prejudicial to the prisoner, or that it is so remote, that it ought not to be given. That, however, does not affect the general principle." We do not desire either to extend or to restrict the principle laid down in </w:t>
      </w:r>
      <w:r w:rsidDel="00000000" w:rsidR="00000000" w:rsidRPr="00000000">
        <w:rPr>
          <w:rFonts w:ascii="Verdana" w:cs="Verdana" w:eastAsia="Verdana" w:hAnsi="Verdana"/>
          <w:i w:val="1"/>
          <w:color w:val="000000"/>
          <w:rtl w:val="0"/>
        </w:rPr>
        <w:t xml:space="preserve">Makin's Case</w:t>
      </w:r>
      <w:r w:rsidDel="00000000" w:rsidR="00000000" w:rsidRPr="00000000">
        <w:rPr>
          <w:rFonts w:ascii="Verdana" w:cs="Verdana" w:eastAsia="Verdana" w:hAnsi="Verdana"/>
          <w:color w:val="000000"/>
          <w:rtl w:val="0"/>
        </w:rPr>
        <w:t xml:space="preserve"> (3) and in other similar cases. But the present case does not depend on the principle there laid down. The evidence of Mrs. Type was admissible if it was relevant to an issue before the jury, and it was none the less admissible though it might prove that the appellant had committed a similar crime on a previous occasion. In our opinion Mrs. Type's evidence tended to prove that Purcell's account of what took place at the first interview was true, and that the appellant's version of the interview was untrue; it also tended to prove that Purcell did take his wife to the appellant's house in the evening of the same day for the purpose of having an illegal operation performed by the appellant. </w:t>
      </w:r>
      <w:r w:rsidDel="00000000" w:rsidR="00000000" w:rsidRPr="00000000">
        <w:rPr>
          <w:rtl w:val="0"/>
        </w:rPr>
      </w:r>
    </w:p>
    <w:p w:rsidR="00000000" w:rsidDel="00000000" w:rsidP="00000000" w:rsidRDefault="00000000" w:rsidRPr="00000000" w14:paraId="00000034">
      <w:pPr>
        <w:widowControl w:val="0"/>
        <w:spacing w:after="0" w:before="240" w:lineRule="auto"/>
        <w:ind w:right="241"/>
        <w:jc w:val="both"/>
        <w:rPr>
          <w:rFonts w:ascii="Verdana" w:cs="Verdana" w:eastAsia="Verdana" w:hAnsi="Verdana"/>
        </w:rPr>
      </w:pPr>
      <w:r w:rsidDel="00000000" w:rsidR="00000000" w:rsidRPr="00000000">
        <w:rPr>
          <w:rtl w:val="0"/>
        </w:rPr>
      </w:r>
    </w:p>
    <w:p w:rsidR="00000000" w:rsidDel="00000000" w:rsidP="00000000" w:rsidRDefault="00000000" w:rsidRPr="00000000" w14:paraId="00000035">
      <w:pPr>
        <w:widowControl w:val="0"/>
        <w:spacing w:after="0" w:before="240" w:lineRule="auto"/>
        <w:ind w:right="241"/>
        <w:jc w:val="both"/>
        <w:rPr>
          <w:rFonts w:ascii="Verdana" w:cs="Verdana" w:eastAsia="Verdana" w:hAnsi="Verdana"/>
        </w:rPr>
      </w:pPr>
      <w:r w:rsidDel="00000000" w:rsidR="00000000" w:rsidRPr="00000000">
        <w:rPr>
          <w:rFonts w:ascii="Verdana" w:cs="Verdana" w:eastAsia="Verdana" w:hAnsi="Verdana"/>
          <w:color w:val="000000"/>
          <w:rtl w:val="0"/>
        </w:rPr>
        <w:t xml:space="preserve">The evidence was, therefore, rightly admitted, and this ground of appeal fails. </w:t>
      </w:r>
      <w:r w:rsidDel="00000000" w:rsidR="00000000" w:rsidRPr="00000000">
        <w:rPr>
          <w:rtl w:val="0"/>
        </w:rPr>
      </w:r>
    </w:p>
    <w:p w:rsidR="00000000" w:rsidDel="00000000" w:rsidP="00000000" w:rsidRDefault="00000000" w:rsidRPr="00000000" w14:paraId="00000036">
      <w:pPr>
        <w:widowControl w:val="0"/>
        <w:spacing w:after="0" w:before="240" w:lineRule="auto"/>
        <w:ind w:right="241"/>
        <w:jc w:val="both"/>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037">
      <w:pPr>
        <w:widowControl w:val="0"/>
        <w:spacing w:after="0" w:before="240" w:lineRule="auto"/>
        <w:ind w:right="241"/>
        <w:jc w:val="both"/>
        <w:rPr>
          <w:rFonts w:ascii="Verdana" w:cs="Verdana" w:eastAsia="Verdana" w:hAnsi="Verdana"/>
          <w:color w:val="000000"/>
        </w:rPr>
      </w:pPr>
      <w:r w:rsidDel="00000000" w:rsidR="00000000" w:rsidRPr="00000000">
        <w:rPr>
          <w:rFonts w:ascii="Verdana" w:cs="Verdana" w:eastAsia="Verdana" w:hAnsi="Verdana"/>
          <w:color w:val="000000"/>
          <w:rtl w:val="0"/>
        </w:rPr>
        <w:t xml:space="preserve">[The Lord Chief Justice then dealt with the question whether there was any corroboration of Purcell's evidence, and came to the conclusion that there was corroboration.] </w:t>
      </w:r>
    </w:p>
    <w:p w:rsidR="00000000" w:rsidDel="00000000" w:rsidP="00000000" w:rsidRDefault="00000000" w:rsidRPr="00000000" w14:paraId="00000038">
      <w:pPr>
        <w:widowControl w:val="0"/>
        <w:spacing w:after="0" w:before="240" w:lineRule="auto"/>
        <w:ind w:right="241"/>
        <w:jc w:val="both"/>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039">
      <w:pPr>
        <w:widowControl w:val="0"/>
        <w:spacing w:after="0" w:before="240" w:lineRule="auto"/>
        <w:ind w:right="241"/>
        <w:jc w:val="both"/>
        <w:rPr>
          <w:rFonts w:ascii="Verdana" w:cs="Verdana" w:eastAsia="Verdana" w:hAnsi="Verdana"/>
          <w:color w:val="000000"/>
        </w:rPr>
      </w:pPr>
      <w:r w:rsidDel="00000000" w:rsidR="00000000" w:rsidRPr="00000000">
        <w:rPr>
          <w:rFonts w:ascii="Verdana" w:cs="Verdana" w:eastAsia="Verdana" w:hAnsi="Verdana"/>
          <w:i w:val="1"/>
          <w:color w:val="000000"/>
          <w:rtl w:val="0"/>
        </w:rPr>
        <w:t xml:space="preserve">Appeal dismissed.</w:t>
      </w:r>
      <w:r w:rsidDel="00000000" w:rsidR="00000000" w:rsidRPr="00000000">
        <w:rPr>
          <w:rtl w:val="0"/>
        </w:rPr>
      </w:r>
    </w:p>
    <w:p w:rsidR="00000000" w:rsidDel="00000000" w:rsidP="00000000" w:rsidRDefault="00000000" w:rsidRPr="00000000" w14:paraId="0000003A">
      <w:pPr>
        <w:widowControl w:val="0"/>
        <w:spacing w:after="0" w:before="240" w:lineRule="auto"/>
        <w:ind w:right="241"/>
        <w:jc w:val="both"/>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03B">
      <w:pPr>
        <w:widowControl w:val="0"/>
        <w:spacing w:after="0" w:before="240" w:lineRule="auto"/>
        <w:ind w:right="241"/>
        <w:jc w:val="both"/>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03C">
      <w:pPr>
        <w:widowControl w:val="0"/>
        <w:spacing w:after="0" w:before="240" w:lineRule="auto"/>
        <w:ind w:right="241"/>
        <w:jc w:val="both"/>
        <w:rPr>
          <w:rFonts w:ascii="Verdana" w:cs="Verdana" w:eastAsia="Verdana" w:hAnsi="Verdana"/>
          <w:b w:val="1"/>
          <w:color w:val="000000"/>
          <w:sz w:val="18"/>
          <w:szCs w:val="18"/>
        </w:rPr>
      </w:pPr>
      <w:r w:rsidDel="00000000" w:rsidR="00000000" w:rsidRPr="00000000">
        <w:rPr>
          <w:rFonts w:ascii="Verdana" w:cs="Verdana" w:eastAsia="Verdana" w:hAnsi="Verdana"/>
          <w:b w:val="1"/>
          <w:color w:val="000000"/>
          <w:sz w:val="18"/>
          <w:szCs w:val="18"/>
          <w:rtl w:val="0"/>
        </w:rPr>
        <w:t xml:space="preserve">REFERENCE OF CASES CITED – [</w:t>
      </w:r>
      <w:r w:rsidDel="00000000" w:rsidR="00000000" w:rsidRPr="00000000">
        <w:rPr>
          <w:rFonts w:ascii="Verdana" w:cs="Verdana" w:eastAsia="Verdana" w:hAnsi="Verdana"/>
          <w:color w:val="000000"/>
          <w:sz w:val="18"/>
          <w:szCs w:val="18"/>
          <w:rtl w:val="0"/>
        </w:rPr>
        <w:t xml:space="preserve">SEQUENTIALLY ]</w:t>
      </w:r>
      <w:r w:rsidDel="00000000" w:rsidR="00000000" w:rsidRPr="00000000">
        <w:rPr>
          <w:rtl w:val="0"/>
        </w:rPr>
      </w:r>
    </w:p>
    <w:p w:rsidR="00000000" w:rsidDel="00000000" w:rsidP="00000000" w:rsidRDefault="00000000" w:rsidRPr="00000000" w14:paraId="0000003D">
      <w:pPr>
        <w:widowControl w:val="0"/>
        <w:spacing w:after="0" w:before="240" w:lineRule="auto"/>
        <w:ind w:left="241" w:right="241" w:firstLine="144"/>
        <w:jc w:val="both"/>
        <w:rPr>
          <w:rFonts w:ascii="Verdana" w:cs="Verdana" w:eastAsia="Verdana" w:hAnsi="Verdana"/>
          <w:sz w:val="18"/>
          <w:szCs w:val="18"/>
        </w:rPr>
      </w:pPr>
      <w:r w:rsidDel="00000000" w:rsidR="00000000" w:rsidRPr="00000000">
        <w:rPr>
          <w:rFonts w:ascii="Verdana" w:cs="Verdana" w:eastAsia="Verdana" w:hAnsi="Verdana"/>
          <w:color w:val="000000"/>
          <w:sz w:val="18"/>
          <w:szCs w:val="18"/>
          <w:rtl w:val="0"/>
        </w:rPr>
        <w:t xml:space="preserve">(1) [1906] 2 K. B. 389, 414. </w:t>
      </w:r>
      <w:r w:rsidDel="00000000" w:rsidR="00000000" w:rsidRPr="00000000">
        <w:rPr>
          <w:rtl w:val="0"/>
        </w:rPr>
      </w:r>
    </w:p>
    <w:p w:rsidR="00000000" w:rsidDel="00000000" w:rsidP="00000000" w:rsidRDefault="00000000" w:rsidRPr="00000000" w14:paraId="0000003E">
      <w:pPr>
        <w:widowControl w:val="0"/>
        <w:spacing w:after="0" w:before="240" w:lineRule="auto"/>
        <w:ind w:left="241" w:right="241" w:firstLine="144"/>
        <w:jc w:val="both"/>
        <w:rPr>
          <w:rFonts w:ascii="Verdana" w:cs="Verdana" w:eastAsia="Verdana" w:hAnsi="Verdana"/>
          <w:sz w:val="18"/>
          <w:szCs w:val="18"/>
        </w:rPr>
      </w:pPr>
      <w:r w:rsidDel="00000000" w:rsidR="00000000" w:rsidRPr="00000000">
        <w:rPr>
          <w:rFonts w:ascii="Verdana" w:cs="Verdana" w:eastAsia="Verdana" w:hAnsi="Verdana"/>
          <w:color w:val="000000"/>
          <w:sz w:val="18"/>
          <w:szCs w:val="18"/>
          <w:rtl w:val="0"/>
        </w:rPr>
        <w:t xml:space="preserve">(2) [1894] A. C. 57. </w:t>
      </w:r>
      <w:r w:rsidDel="00000000" w:rsidR="00000000" w:rsidRPr="00000000">
        <w:rPr>
          <w:rtl w:val="0"/>
        </w:rPr>
      </w:r>
    </w:p>
    <w:p w:rsidR="00000000" w:rsidDel="00000000" w:rsidP="00000000" w:rsidRDefault="00000000" w:rsidRPr="00000000" w14:paraId="0000003F">
      <w:pPr>
        <w:widowControl w:val="0"/>
        <w:spacing w:after="0" w:before="240" w:lineRule="auto"/>
        <w:ind w:left="241" w:right="241" w:firstLine="144"/>
        <w:jc w:val="both"/>
        <w:rPr>
          <w:rFonts w:ascii="Verdana" w:cs="Verdana" w:eastAsia="Verdana" w:hAnsi="Verdana"/>
          <w:sz w:val="18"/>
          <w:szCs w:val="18"/>
        </w:rPr>
      </w:pPr>
      <w:r w:rsidDel="00000000" w:rsidR="00000000" w:rsidRPr="00000000">
        <w:rPr>
          <w:rFonts w:ascii="Verdana" w:cs="Verdana" w:eastAsia="Verdana" w:hAnsi="Verdana"/>
          <w:color w:val="000000"/>
          <w:sz w:val="18"/>
          <w:szCs w:val="18"/>
          <w:rtl w:val="0"/>
        </w:rPr>
        <w:t xml:space="preserve">(3) [1911] A. C. 47. </w:t>
      </w:r>
      <w:r w:rsidDel="00000000" w:rsidR="00000000" w:rsidRPr="00000000">
        <w:rPr>
          <w:rtl w:val="0"/>
        </w:rPr>
      </w:r>
    </w:p>
    <w:p w:rsidR="00000000" w:rsidDel="00000000" w:rsidP="00000000" w:rsidRDefault="00000000" w:rsidRPr="00000000" w14:paraId="00000040">
      <w:pPr>
        <w:widowControl w:val="0"/>
        <w:spacing w:after="0" w:before="240" w:lineRule="auto"/>
        <w:ind w:left="241" w:right="241" w:firstLine="144"/>
        <w:jc w:val="both"/>
        <w:rPr>
          <w:rFonts w:ascii="Verdana" w:cs="Verdana" w:eastAsia="Verdana" w:hAnsi="Verdana"/>
          <w:sz w:val="18"/>
          <w:szCs w:val="18"/>
        </w:rPr>
      </w:pPr>
      <w:r w:rsidDel="00000000" w:rsidR="00000000" w:rsidRPr="00000000">
        <w:rPr>
          <w:rFonts w:ascii="Verdana" w:cs="Verdana" w:eastAsia="Verdana" w:hAnsi="Verdana"/>
          <w:color w:val="000000"/>
          <w:sz w:val="18"/>
          <w:szCs w:val="18"/>
          <w:rtl w:val="0"/>
        </w:rPr>
        <w:t xml:space="preserve">(4) [1914] 3 K. B. 339. </w:t>
      </w:r>
      <w:r w:rsidDel="00000000" w:rsidR="00000000" w:rsidRPr="00000000">
        <w:rPr>
          <w:rtl w:val="0"/>
        </w:rPr>
      </w:r>
    </w:p>
    <w:p w:rsidR="00000000" w:rsidDel="00000000" w:rsidP="00000000" w:rsidRDefault="00000000" w:rsidRPr="00000000" w14:paraId="00000041">
      <w:pPr>
        <w:widowControl w:val="0"/>
        <w:spacing w:after="0" w:before="240" w:lineRule="auto"/>
        <w:ind w:left="241" w:right="241" w:firstLine="144"/>
        <w:jc w:val="both"/>
        <w:rPr>
          <w:rFonts w:ascii="Verdana" w:cs="Verdana" w:eastAsia="Verdana" w:hAnsi="Verdana"/>
          <w:sz w:val="18"/>
          <w:szCs w:val="18"/>
        </w:rPr>
      </w:pPr>
      <w:r w:rsidDel="00000000" w:rsidR="00000000" w:rsidRPr="00000000">
        <w:rPr>
          <w:rFonts w:ascii="Verdana" w:cs="Verdana" w:eastAsia="Verdana" w:hAnsi="Verdana"/>
          <w:color w:val="000000"/>
          <w:sz w:val="18"/>
          <w:szCs w:val="18"/>
          <w:rtl w:val="0"/>
        </w:rPr>
        <w:t xml:space="preserve">(5) [1914] 1 K. B. 414. </w:t>
      </w:r>
      <w:r w:rsidDel="00000000" w:rsidR="00000000" w:rsidRPr="00000000">
        <w:rPr>
          <w:rtl w:val="0"/>
        </w:rPr>
      </w:r>
    </w:p>
    <w:p w:rsidR="00000000" w:rsidDel="00000000" w:rsidP="00000000" w:rsidRDefault="00000000" w:rsidRPr="00000000" w14:paraId="00000042">
      <w:pPr>
        <w:widowControl w:val="0"/>
        <w:spacing w:after="0" w:before="240" w:lineRule="auto"/>
        <w:ind w:right="241"/>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_______________________</w:t>
      </w:r>
    </w:p>
    <w:p w:rsidR="00000000" w:rsidDel="00000000" w:rsidP="00000000" w:rsidRDefault="00000000" w:rsidRPr="00000000" w14:paraId="00000043">
      <w:pPr>
        <w:widowControl w:val="0"/>
        <w:spacing w:after="0" w:before="240" w:lineRule="auto"/>
        <w:ind w:left="241" w:right="241" w:firstLine="144"/>
        <w:jc w:val="both"/>
        <w:rPr>
          <w:rFonts w:ascii="Verdana" w:cs="Verdana" w:eastAsia="Verdana" w:hAnsi="Verdana"/>
          <w:sz w:val="18"/>
          <w:szCs w:val="18"/>
        </w:rPr>
      </w:pPr>
      <w:r w:rsidDel="00000000" w:rsidR="00000000" w:rsidRPr="00000000">
        <w:rPr>
          <w:rFonts w:ascii="Verdana" w:cs="Verdana" w:eastAsia="Verdana" w:hAnsi="Verdana"/>
          <w:color w:val="000000"/>
          <w:sz w:val="18"/>
          <w:szCs w:val="18"/>
          <w:rtl w:val="0"/>
        </w:rPr>
        <w:t xml:space="preserve">(1) [1894] A. C. 57. </w:t>
      </w:r>
      <w:r w:rsidDel="00000000" w:rsidR="00000000" w:rsidRPr="00000000">
        <w:rPr>
          <w:rtl w:val="0"/>
        </w:rPr>
      </w:r>
    </w:p>
    <w:p w:rsidR="00000000" w:rsidDel="00000000" w:rsidP="00000000" w:rsidRDefault="00000000" w:rsidRPr="00000000" w14:paraId="00000044">
      <w:pPr>
        <w:widowControl w:val="0"/>
        <w:spacing w:after="0" w:before="240" w:lineRule="auto"/>
        <w:ind w:left="241" w:right="241" w:firstLine="144"/>
        <w:jc w:val="both"/>
        <w:rPr>
          <w:rFonts w:ascii="Verdana" w:cs="Verdana" w:eastAsia="Verdana" w:hAnsi="Verdana"/>
          <w:sz w:val="18"/>
          <w:szCs w:val="18"/>
        </w:rPr>
      </w:pPr>
      <w:r w:rsidDel="00000000" w:rsidR="00000000" w:rsidRPr="00000000">
        <w:rPr>
          <w:rFonts w:ascii="Verdana" w:cs="Verdana" w:eastAsia="Verdana" w:hAnsi="Verdana"/>
          <w:color w:val="000000"/>
          <w:sz w:val="18"/>
          <w:szCs w:val="18"/>
          <w:rtl w:val="0"/>
        </w:rPr>
        <w:t xml:space="preserve">(2) [1906] 2 K. B. 389, 414. </w:t>
      </w:r>
      <w:r w:rsidDel="00000000" w:rsidR="00000000" w:rsidRPr="00000000">
        <w:rPr>
          <w:rtl w:val="0"/>
        </w:rPr>
      </w:r>
    </w:p>
    <w:p w:rsidR="00000000" w:rsidDel="00000000" w:rsidP="00000000" w:rsidRDefault="00000000" w:rsidRPr="00000000" w14:paraId="00000045">
      <w:pPr>
        <w:widowControl w:val="0"/>
        <w:spacing w:after="0" w:before="240" w:lineRule="auto"/>
        <w:ind w:left="241" w:right="241" w:firstLine="144"/>
        <w:jc w:val="both"/>
        <w:rPr>
          <w:rFonts w:ascii="Verdana" w:cs="Verdana" w:eastAsia="Verdana" w:hAnsi="Verdana"/>
          <w:sz w:val="18"/>
          <w:szCs w:val="18"/>
        </w:rPr>
      </w:pPr>
      <w:r w:rsidDel="00000000" w:rsidR="00000000" w:rsidRPr="00000000">
        <w:rPr>
          <w:rFonts w:ascii="Verdana" w:cs="Verdana" w:eastAsia="Verdana" w:hAnsi="Verdana"/>
          <w:color w:val="000000"/>
          <w:sz w:val="18"/>
          <w:szCs w:val="18"/>
          <w:rtl w:val="0"/>
        </w:rPr>
        <w:t xml:space="preserve">(3) [1894] A. C. 65. </w:t>
      </w:r>
      <w:r w:rsidDel="00000000" w:rsidR="00000000" w:rsidRPr="00000000">
        <w:rPr>
          <w:rtl w:val="0"/>
        </w:rPr>
      </w:r>
    </w:p>
    <w:p w:rsidR="00000000" w:rsidDel="00000000" w:rsidP="00000000" w:rsidRDefault="00000000" w:rsidRPr="00000000" w14:paraId="00000046">
      <w:pPr>
        <w:widowControl w:val="0"/>
        <w:spacing w:after="0" w:before="240" w:lineRule="auto"/>
        <w:ind w:left="241" w:right="241" w:firstLine="144"/>
        <w:jc w:val="both"/>
        <w:rPr>
          <w:rFonts w:ascii="Verdana" w:cs="Verdana" w:eastAsia="Verdana" w:hAnsi="Verdana"/>
          <w:sz w:val="18"/>
          <w:szCs w:val="18"/>
        </w:rPr>
      </w:pPr>
      <w:r w:rsidDel="00000000" w:rsidR="00000000" w:rsidRPr="00000000">
        <w:rPr>
          <w:rFonts w:ascii="Verdana" w:cs="Verdana" w:eastAsia="Verdana" w:hAnsi="Verdana"/>
          <w:color w:val="000000"/>
          <w:sz w:val="18"/>
          <w:szCs w:val="18"/>
          <w:rtl w:val="0"/>
        </w:rPr>
        <w:t xml:space="preserve">(4) [1914] 1 K. B. 414. </w:t>
      </w:r>
      <w:r w:rsidDel="00000000" w:rsidR="00000000" w:rsidRPr="00000000">
        <w:rPr>
          <w:rtl w:val="0"/>
        </w:rPr>
      </w:r>
    </w:p>
    <w:p w:rsidR="00000000" w:rsidDel="00000000" w:rsidP="00000000" w:rsidRDefault="00000000" w:rsidRPr="00000000" w14:paraId="00000047">
      <w:pPr>
        <w:spacing w:before="240" w:lineRule="auto"/>
        <w:rPr>
          <w:rFonts w:ascii="Verdana" w:cs="Verdana" w:eastAsia="Verdana" w:hAnsi="Verdana"/>
        </w:rPr>
      </w:pPr>
      <w:r w:rsidDel="00000000" w:rsidR="00000000" w:rsidRPr="00000000">
        <w:rPr>
          <w:rtl w:val="0"/>
        </w:rPr>
      </w:r>
    </w:p>
    <w:sectPr>
      <w:headerReference r:id="rId7" w:type="default"/>
      <w:pgSz w:h="11907" w:w="16839"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righ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454EC8"/>
    <w:pPr>
      <w:spacing w:after="200" w:line="276" w:lineRule="auto"/>
    </w:pPr>
    <w:rPr>
      <w:sz w:val="22"/>
      <w:szCs w:val="22"/>
      <w:lang w:eastAsia="en-US"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grame" w:customStyle="1">
    <w:name w:val="grame"/>
    <w:rsid w:val="00BE0BC4"/>
  </w:style>
  <w:style w:type="character" w:styleId="spelle" w:customStyle="1">
    <w:name w:val="spelle"/>
    <w:rsid w:val="00BE0BC4"/>
  </w:style>
  <w:style w:type="paragraph" w:styleId="Header">
    <w:name w:val="header"/>
    <w:basedOn w:val="Normal"/>
    <w:link w:val="HeaderChar"/>
    <w:uiPriority w:val="99"/>
    <w:semiHidden w:val="1"/>
    <w:unhideWhenUsed w:val="1"/>
    <w:rsid w:val="00970DB2"/>
    <w:pPr>
      <w:tabs>
        <w:tab w:val="center" w:pos="4680"/>
        <w:tab w:val="right" w:pos="9360"/>
      </w:tabs>
    </w:pPr>
  </w:style>
  <w:style w:type="character" w:styleId="HeaderChar" w:customStyle="1">
    <w:name w:val="Header Char"/>
    <w:basedOn w:val="DefaultParagraphFont"/>
    <w:link w:val="Header"/>
    <w:uiPriority w:val="99"/>
    <w:semiHidden w:val="1"/>
    <w:rsid w:val="00970DB2"/>
    <w:rPr>
      <w:sz w:val="22"/>
      <w:szCs w:val="22"/>
    </w:rPr>
  </w:style>
  <w:style w:type="paragraph" w:styleId="Footer">
    <w:name w:val="footer"/>
    <w:basedOn w:val="Normal"/>
    <w:link w:val="FooterChar"/>
    <w:uiPriority w:val="99"/>
    <w:semiHidden w:val="1"/>
    <w:unhideWhenUsed w:val="1"/>
    <w:rsid w:val="00970DB2"/>
    <w:pPr>
      <w:tabs>
        <w:tab w:val="center" w:pos="4680"/>
        <w:tab w:val="right" w:pos="9360"/>
      </w:tabs>
    </w:pPr>
  </w:style>
  <w:style w:type="character" w:styleId="FooterChar" w:customStyle="1">
    <w:name w:val="Footer Char"/>
    <w:basedOn w:val="DefaultParagraphFont"/>
    <w:link w:val="Footer"/>
    <w:uiPriority w:val="99"/>
    <w:semiHidden w:val="1"/>
    <w:rsid w:val="00970DB2"/>
    <w:rPr>
      <w:sz w:val="22"/>
      <w:szCs w:val="2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PLFCG0ObnP/PDSSq1rxNneDhTA==">AMUW2mWRYMf65APMwgFZ6FvpZSzWDg2QhW3yxcOltuk7zIBQE86v5zj9oAmde9VvFMoqfnAUqnWz2f0PuJaXKSzzUr62jb+kWHMyx6jnPk2FWFWAPD/useo=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2021-06-26T15:34:00Z</dcterms:created>
  <dc:creator>deogate</dc:creator>
</cp:coreProperties>
</file>