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BAF" w:rsidRPr="0026688C" w:rsidRDefault="00C44BAF" w:rsidP="007923EA">
      <w:pPr>
        <w:overflowPunct w:val="0"/>
        <w:autoSpaceDE w:val="0"/>
        <w:autoSpaceDN w:val="0"/>
        <w:adjustRightInd w:val="0"/>
        <w:spacing w:before="240" w:after="0"/>
        <w:jc w:val="center"/>
        <w:rPr>
          <w:rFonts w:ascii="Verdana" w:eastAsia="Times New Roman" w:hAnsi="Verdana"/>
          <w:b/>
          <w:sz w:val="28"/>
          <w:szCs w:val="28"/>
        </w:rPr>
      </w:pPr>
      <w:r w:rsidRPr="0026688C">
        <w:rPr>
          <w:rFonts w:ascii="Verdana" w:eastAsia="Times New Roman" w:hAnsi="Verdana"/>
          <w:b/>
          <w:sz w:val="28"/>
          <w:szCs w:val="28"/>
        </w:rPr>
        <w:t>BAWA JIBRIL</w:t>
      </w:r>
    </w:p>
    <w:p w:rsidR="00C44BAF" w:rsidRDefault="0026688C" w:rsidP="007923EA">
      <w:pPr>
        <w:overflowPunct w:val="0"/>
        <w:autoSpaceDE w:val="0"/>
        <w:autoSpaceDN w:val="0"/>
        <w:adjustRightInd w:val="0"/>
        <w:spacing w:before="240" w:after="0"/>
        <w:jc w:val="center"/>
        <w:rPr>
          <w:rFonts w:ascii="Verdana" w:eastAsia="Times New Roman" w:hAnsi="Verdana"/>
          <w:b/>
          <w:sz w:val="28"/>
          <w:szCs w:val="28"/>
        </w:rPr>
      </w:pPr>
      <w:r>
        <w:rPr>
          <w:rFonts w:ascii="Verdana" w:eastAsia="Times New Roman" w:hAnsi="Verdana"/>
          <w:b/>
          <w:sz w:val="28"/>
          <w:szCs w:val="28"/>
        </w:rPr>
        <w:t>V.</w:t>
      </w:r>
    </w:p>
    <w:p w:rsidR="00C44BAF" w:rsidRPr="0026688C" w:rsidRDefault="00C44BAF" w:rsidP="007923EA">
      <w:pPr>
        <w:overflowPunct w:val="0"/>
        <w:autoSpaceDE w:val="0"/>
        <w:autoSpaceDN w:val="0"/>
        <w:adjustRightInd w:val="0"/>
        <w:spacing w:before="240" w:after="0"/>
        <w:jc w:val="center"/>
        <w:rPr>
          <w:rFonts w:ascii="Verdana" w:eastAsia="Times New Roman" w:hAnsi="Verdana"/>
          <w:b/>
          <w:sz w:val="28"/>
          <w:szCs w:val="28"/>
        </w:rPr>
      </w:pPr>
      <w:r w:rsidRPr="0026688C">
        <w:rPr>
          <w:rFonts w:ascii="Verdana" w:eastAsia="Times New Roman" w:hAnsi="Verdana"/>
          <w:b/>
          <w:sz w:val="28"/>
          <w:szCs w:val="28"/>
        </w:rPr>
        <w:t>THE STATE</w:t>
      </w:r>
    </w:p>
    <w:p w:rsidR="004923BF" w:rsidRPr="00E25391" w:rsidRDefault="004923BF" w:rsidP="007923EA">
      <w:pPr>
        <w:overflowPunct w:val="0"/>
        <w:autoSpaceDE w:val="0"/>
        <w:autoSpaceDN w:val="0"/>
        <w:adjustRightInd w:val="0"/>
        <w:spacing w:before="240"/>
        <w:jc w:val="center"/>
        <w:rPr>
          <w:rFonts w:ascii="Verdana" w:eastAsia="Times New Roman" w:hAnsi="Verdana"/>
        </w:rPr>
      </w:pPr>
      <w:bookmarkStart w:id="0" w:name="_Toc153537675"/>
      <w:r w:rsidRPr="00E25391">
        <w:rPr>
          <w:rFonts w:ascii="Verdana" w:eastAsia="Times New Roman" w:hAnsi="Verdana"/>
        </w:rPr>
        <w:t>SUPREME COURT OF NIGERIA</w:t>
      </w:r>
      <w:bookmarkEnd w:id="0"/>
      <w:r w:rsidRPr="00E25391">
        <w:rPr>
          <w:rFonts w:ascii="Verdana" w:eastAsia="Times New Roman" w:hAnsi="Verdana"/>
        </w:rPr>
        <w:t xml:space="preserve"> </w:t>
      </w:r>
    </w:p>
    <w:p w:rsidR="004923BF" w:rsidRPr="00E25391" w:rsidRDefault="004923BF" w:rsidP="007923EA">
      <w:pPr>
        <w:overflowPunct w:val="0"/>
        <w:autoSpaceDE w:val="0"/>
        <w:autoSpaceDN w:val="0"/>
        <w:adjustRightInd w:val="0"/>
        <w:spacing w:before="240"/>
        <w:jc w:val="center"/>
        <w:rPr>
          <w:rFonts w:ascii="Verdana" w:eastAsia="Times New Roman" w:hAnsi="Verdana"/>
        </w:rPr>
      </w:pPr>
      <w:bookmarkStart w:id="1" w:name="_Toc153537679"/>
      <w:r w:rsidRPr="00E25391">
        <w:rPr>
          <w:rFonts w:ascii="Verdana" w:eastAsia="Times New Roman" w:hAnsi="Verdana"/>
        </w:rPr>
        <w:t>28TH MARCH, 1968.</w:t>
      </w:r>
      <w:bookmarkEnd w:id="1"/>
    </w:p>
    <w:p w:rsidR="004923BF" w:rsidRDefault="007923EA" w:rsidP="007923EA">
      <w:pPr>
        <w:overflowPunct w:val="0"/>
        <w:autoSpaceDE w:val="0"/>
        <w:autoSpaceDN w:val="0"/>
        <w:adjustRightInd w:val="0"/>
        <w:spacing w:before="240"/>
        <w:jc w:val="center"/>
        <w:rPr>
          <w:rFonts w:ascii="Verdana" w:eastAsia="Times New Roman" w:hAnsi="Verdana"/>
        </w:rPr>
      </w:pPr>
      <w:r>
        <w:rPr>
          <w:rFonts w:ascii="Verdana" w:eastAsia="Times New Roman" w:hAnsi="Verdana"/>
        </w:rPr>
        <w:t>SUIT NO. SC 392/1967</w:t>
      </w:r>
    </w:p>
    <w:p w:rsidR="007923EA" w:rsidRPr="007923EA" w:rsidRDefault="007923EA" w:rsidP="007923EA">
      <w:pPr>
        <w:overflowPunct w:val="0"/>
        <w:autoSpaceDE w:val="0"/>
        <w:autoSpaceDN w:val="0"/>
        <w:adjustRightInd w:val="0"/>
        <w:spacing w:before="240"/>
        <w:jc w:val="center"/>
        <w:rPr>
          <w:rFonts w:ascii="Verdana" w:eastAsia="Times New Roman" w:hAnsi="Verdana"/>
          <w:b/>
        </w:rPr>
      </w:pPr>
      <w:r>
        <w:rPr>
          <w:rFonts w:ascii="Verdana" w:eastAsia="Times New Roman" w:hAnsi="Verdana"/>
          <w:b/>
        </w:rPr>
        <w:t xml:space="preserve">LEX (1968) - </w:t>
      </w:r>
      <w:r w:rsidRPr="007923EA">
        <w:rPr>
          <w:rFonts w:ascii="Verdana" w:eastAsia="Times New Roman" w:hAnsi="Verdana"/>
          <w:b/>
        </w:rPr>
        <w:t>SC 392/1967</w:t>
      </w:r>
    </w:p>
    <w:p w:rsidR="00CC469A" w:rsidRDefault="00CC469A" w:rsidP="007923EA">
      <w:pPr>
        <w:overflowPunct w:val="0"/>
        <w:autoSpaceDE w:val="0"/>
        <w:autoSpaceDN w:val="0"/>
        <w:adjustRightInd w:val="0"/>
        <w:spacing w:before="240"/>
        <w:rPr>
          <w:rFonts w:ascii="Verdana" w:eastAsia="Times New Roman" w:hAnsi="Verdana"/>
          <w:sz w:val="20"/>
          <w:szCs w:val="20"/>
          <w:lang w:eastAsia="en-GB"/>
        </w:rPr>
      </w:pPr>
    </w:p>
    <w:p w:rsidR="00125B13" w:rsidRDefault="00CC469A" w:rsidP="007923EA">
      <w:pPr>
        <w:overflowPunct w:val="0"/>
        <w:autoSpaceDE w:val="0"/>
        <w:autoSpaceDN w:val="0"/>
        <w:adjustRightInd w:val="0"/>
        <w:spacing w:after="0"/>
        <w:jc w:val="right"/>
        <w:rPr>
          <w:rFonts w:ascii="Verdana" w:eastAsia="Times New Roman" w:hAnsi="Verdana"/>
          <w:b/>
          <w:sz w:val="18"/>
          <w:szCs w:val="20"/>
          <w:lang w:eastAsia="en-GB"/>
        </w:rPr>
      </w:pPr>
      <w:r w:rsidRPr="00CC469A">
        <w:rPr>
          <w:rFonts w:ascii="Verdana" w:eastAsia="Times New Roman" w:hAnsi="Verdana"/>
          <w:b/>
          <w:sz w:val="18"/>
          <w:szCs w:val="20"/>
          <w:lang w:eastAsia="en-GB"/>
        </w:rPr>
        <w:t>OTHER CITATIONS</w:t>
      </w:r>
    </w:p>
    <w:p w:rsidR="00125B13" w:rsidRPr="00C946F1" w:rsidRDefault="00125B13" w:rsidP="007923EA">
      <w:pPr>
        <w:overflowPunct w:val="0"/>
        <w:autoSpaceDE w:val="0"/>
        <w:autoSpaceDN w:val="0"/>
        <w:adjustRightInd w:val="0"/>
        <w:spacing w:after="0"/>
        <w:jc w:val="right"/>
        <w:rPr>
          <w:rFonts w:ascii="Verdana" w:eastAsia="Times New Roman" w:hAnsi="Verdana"/>
          <w:b/>
          <w:sz w:val="20"/>
        </w:rPr>
      </w:pPr>
      <w:r>
        <w:rPr>
          <w:rFonts w:ascii="Verdana" w:eastAsia="Times New Roman" w:hAnsi="Verdana"/>
          <w:sz w:val="18"/>
          <w:szCs w:val="20"/>
          <w:lang w:eastAsia="en-GB"/>
        </w:rPr>
        <w:t>3P</w:t>
      </w:r>
      <w:r w:rsidRPr="00CC469A">
        <w:rPr>
          <w:rFonts w:ascii="Verdana" w:eastAsia="Times New Roman" w:hAnsi="Verdana"/>
          <w:sz w:val="18"/>
          <w:szCs w:val="20"/>
          <w:lang w:eastAsia="en-GB"/>
        </w:rPr>
        <w:t>LR/1968/</w:t>
      </w:r>
      <w:proofErr w:type="gramStart"/>
      <w:r w:rsidRPr="00CC469A">
        <w:rPr>
          <w:rFonts w:ascii="Verdana" w:eastAsia="Times New Roman" w:hAnsi="Verdana"/>
          <w:sz w:val="18"/>
          <w:szCs w:val="20"/>
          <w:lang w:eastAsia="en-GB"/>
        </w:rPr>
        <w:t>50  (</w:t>
      </w:r>
      <w:proofErr w:type="gramEnd"/>
      <w:r w:rsidRPr="00CC469A">
        <w:rPr>
          <w:rFonts w:ascii="Verdana" w:eastAsia="Times New Roman" w:hAnsi="Verdana"/>
          <w:sz w:val="18"/>
          <w:szCs w:val="20"/>
          <w:lang w:eastAsia="en-GB"/>
        </w:rPr>
        <w:t>SC)</w:t>
      </w:r>
    </w:p>
    <w:p w:rsidR="00CC469A" w:rsidRPr="00CC469A" w:rsidRDefault="00CC469A" w:rsidP="007923EA">
      <w:pPr>
        <w:overflowPunct w:val="0"/>
        <w:autoSpaceDE w:val="0"/>
        <w:autoSpaceDN w:val="0"/>
        <w:adjustRightInd w:val="0"/>
        <w:spacing w:before="240" w:after="0"/>
        <w:jc w:val="right"/>
        <w:rPr>
          <w:rFonts w:ascii="Verdana" w:eastAsia="Times New Roman" w:hAnsi="Verdana"/>
          <w:b/>
          <w:sz w:val="18"/>
          <w:szCs w:val="20"/>
          <w:lang w:eastAsia="en-GB"/>
        </w:rPr>
      </w:pPr>
    </w:p>
    <w:p w:rsidR="004923BF" w:rsidRPr="007923EA" w:rsidRDefault="004923BF" w:rsidP="007923EA">
      <w:pPr>
        <w:overflowPunct w:val="0"/>
        <w:autoSpaceDE w:val="0"/>
        <w:autoSpaceDN w:val="0"/>
        <w:adjustRightInd w:val="0"/>
        <w:spacing w:before="240" w:after="0"/>
        <w:rPr>
          <w:rFonts w:ascii="Verdana" w:eastAsia="Times New Roman" w:hAnsi="Verdana"/>
          <w:b/>
        </w:rPr>
      </w:pPr>
      <w:r w:rsidRPr="007923EA">
        <w:rPr>
          <w:rFonts w:ascii="Verdana" w:eastAsia="Times New Roman" w:hAnsi="Verdana"/>
          <w:b/>
        </w:rPr>
        <w:t>REPRESENTATION</w:t>
      </w:r>
    </w:p>
    <w:p w:rsidR="004923BF" w:rsidRPr="007923EA" w:rsidRDefault="00E83930" w:rsidP="007923EA">
      <w:pPr>
        <w:overflowPunct w:val="0"/>
        <w:autoSpaceDE w:val="0"/>
        <w:autoSpaceDN w:val="0"/>
        <w:adjustRightInd w:val="0"/>
        <w:spacing w:before="240" w:after="0"/>
        <w:jc w:val="both"/>
        <w:rPr>
          <w:rFonts w:ascii="Verdana" w:eastAsia="Times New Roman" w:hAnsi="Verdana"/>
        </w:rPr>
      </w:pPr>
      <w:r w:rsidRPr="007923EA">
        <w:rPr>
          <w:rFonts w:ascii="Verdana" w:eastAsia="Times New Roman" w:hAnsi="Verdana"/>
        </w:rPr>
        <w:t>COLE</w:t>
      </w:r>
      <w:r w:rsidR="004923BF" w:rsidRPr="007923EA">
        <w:rPr>
          <w:rFonts w:ascii="Verdana" w:eastAsia="Times New Roman" w:hAnsi="Verdana"/>
        </w:rPr>
        <w:t xml:space="preserve"> - for the Appellant</w:t>
      </w:r>
    </w:p>
    <w:p w:rsidR="004923BF" w:rsidRPr="007923EA" w:rsidRDefault="00E83930" w:rsidP="007923EA">
      <w:pPr>
        <w:overflowPunct w:val="0"/>
        <w:autoSpaceDE w:val="0"/>
        <w:autoSpaceDN w:val="0"/>
        <w:adjustRightInd w:val="0"/>
        <w:spacing w:before="240" w:after="0"/>
        <w:jc w:val="both"/>
        <w:rPr>
          <w:rFonts w:ascii="Verdana" w:eastAsia="Times New Roman" w:hAnsi="Verdana"/>
        </w:rPr>
      </w:pPr>
      <w:r w:rsidRPr="007923EA">
        <w:rPr>
          <w:rFonts w:ascii="Verdana" w:eastAsia="Times New Roman" w:hAnsi="Verdana"/>
        </w:rPr>
        <w:t xml:space="preserve">BELGORE, </w:t>
      </w:r>
      <w:r w:rsidR="004923BF" w:rsidRPr="007923EA">
        <w:rPr>
          <w:rFonts w:ascii="Verdana" w:eastAsia="Times New Roman" w:hAnsi="Verdana"/>
        </w:rPr>
        <w:t>D.D.P.P. (North), - for the Respondent</w:t>
      </w:r>
    </w:p>
    <w:p w:rsidR="004923BF" w:rsidRPr="007923EA" w:rsidRDefault="004923BF" w:rsidP="007923EA">
      <w:pPr>
        <w:overflowPunct w:val="0"/>
        <w:autoSpaceDE w:val="0"/>
        <w:autoSpaceDN w:val="0"/>
        <w:adjustRightInd w:val="0"/>
        <w:spacing w:before="240" w:after="0"/>
        <w:rPr>
          <w:rFonts w:ascii="Verdana" w:eastAsia="Times New Roman" w:hAnsi="Verdana"/>
          <w:b/>
        </w:rPr>
      </w:pPr>
    </w:p>
    <w:p w:rsidR="00E83930" w:rsidRPr="007923EA" w:rsidRDefault="00E83930" w:rsidP="007923EA">
      <w:pPr>
        <w:overflowPunct w:val="0"/>
        <w:autoSpaceDE w:val="0"/>
        <w:autoSpaceDN w:val="0"/>
        <w:adjustRightInd w:val="0"/>
        <w:spacing w:before="240" w:after="0"/>
        <w:rPr>
          <w:rFonts w:ascii="Verdana" w:eastAsia="Times New Roman" w:hAnsi="Verdana"/>
          <w:b/>
          <w:bCs/>
          <w:lang w:eastAsia="en-GB"/>
        </w:rPr>
      </w:pPr>
      <w:r w:rsidRPr="007923EA">
        <w:rPr>
          <w:rFonts w:ascii="Verdana" w:eastAsia="Times New Roman" w:hAnsi="Verdana"/>
          <w:b/>
          <w:bCs/>
          <w:lang w:eastAsia="en-GB"/>
        </w:rPr>
        <w:t xml:space="preserve">CONNECTED AREAS OF PRACTICE </w:t>
      </w:r>
    </w:p>
    <w:p w:rsidR="00E83930" w:rsidRPr="007923EA" w:rsidRDefault="00E83930" w:rsidP="007923EA">
      <w:pPr>
        <w:overflowPunct w:val="0"/>
        <w:autoSpaceDE w:val="0"/>
        <w:autoSpaceDN w:val="0"/>
        <w:adjustRightInd w:val="0"/>
        <w:spacing w:before="240" w:after="0"/>
        <w:rPr>
          <w:rFonts w:ascii="Verdana" w:eastAsia="Times New Roman" w:hAnsi="Verdana"/>
          <w:bCs/>
          <w:lang w:eastAsia="en-GB"/>
        </w:rPr>
      </w:pPr>
      <w:r w:rsidRPr="007923EA">
        <w:rPr>
          <w:rFonts w:ascii="Verdana" w:eastAsia="Times New Roman" w:hAnsi="Verdana"/>
          <w:bCs/>
          <w:lang w:eastAsia="en-GB"/>
        </w:rPr>
        <w:lastRenderedPageBreak/>
        <w:t>CRIMINAL LAW, WOMEN AND CHILDREN</w:t>
      </w:r>
    </w:p>
    <w:p w:rsidR="00E83930" w:rsidRPr="007923EA" w:rsidRDefault="00E83930" w:rsidP="007923EA">
      <w:pPr>
        <w:overflowPunct w:val="0"/>
        <w:autoSpaceDE w:val="0"/>
        <w:autoSpaceDN w:val="0"/>
        <w:adjustRightInd w:val="0"/>
        <w:spacing w:before="240" w:after="0"/>
        <w:rPr>
          <w:rFonts w:ascii="Verdana" w:eastAsia="Times New Roman" w:hAnsi="Verdana"/>
          <w:b/>
        </w:rPr>
      </w:pPr>
    </w:p>
    <w:p w:rsidR="006B19E1" w:rsidRPr="007923EA" w:rsidRDefault="006B19E1" w:rsidP="007923EA">
      <w:pPr>
        <w:overflowPunct w:val="0"/>
        <w:autoSpaceDE w:val="0"/>
        <w:autoSpaceDN w:val="0"/>
        <w:adjustRightInd w:val="0"/>
        <w:spacing w:before="240" w:after="0"/>
        <w:rPr>
          <w:rFonts w:ascii="Verdana" w:eastAsia="Times New Roman" w:hAnsi="Verdana"/>
          <w:b/>
        </w:rPr>
      </w:pPr>
      <w:r w:rsidRPr="007923EA">
        <w:rPr>
          <w:rFonts w:ascii="Verdana" w:eastAsia="Times New Roman" w:hAnsi="Verdana"/>
          <w:b/>
        </w:rPr>
        <w:t>ORIGINATING COURT</w:t>
      </w:r>
    </w:p>
    <w:p w:rsidR="006B19E1" w:rsidRPr="007923EA" w:rsidRDefault="007923EA" w:rsidP="007923EA">
      <w:pPr>
        <w:overflowPunct w:val="0"/>
        <w:autoSpaceDE w:val="0"/>
        <w:autoSpaceDN w:val="0"/>
        <w:adjustRightInd w:val="0"/>
        <w:spacing w:before="240" w:after="0"/>
        <w:rPr>
          <w:rFonts w:ascii="Verdana" w:eastAsia="Times New Roman" w:hAnsi="Verdana"/>
        </w:rPr>
      </w:pPr>
      <w:proofErr w:type="gramStart"/>
      <w:r w:rsidRPr="007923EA">
        <w:rPr>
          <w:rFonts w:ascii="Verdana" w:eastAsia="Times New Roman" w:hAnsi="Verdana"/>
        </w:rPr>
        <w:t>HIGH COURT OF NORTHERN NIGERIA</w:t>
      </w:r>
      <w:r w:rsidR="006B19E1" w:rsidRPr="007923EA">
        <w:rPr>
          <w:rFonts w:ascii="Verdana" w:eastAsia="Times New Roman" w:hAnsi="Verdana"/>
        </w:rPr>
        <w:t xml:space="preserve"> (Jones J.)</w:t>
      </w:r>
      <w:proofErr w:type="gramEnd"/>
    </w:p>
    <w:p w:rsidR="006B19E1" w:rsidRPr="007923EA" w:rsidRDefault="006B19E1" w:rsidP="007923EA">
      <w:pPr>
        <w:overflowPunct w:val="0"/>
        <w:autoSpaceDE w:val="0"/>
        <w:autoSpaceDN w:val="0"/>
        <w:adjustRightInd w:val="0"/>
        <w:spacing w:before="240" w:after="0"/>
        <w:rPr>
          <w:rFonts w:ascii="Verdana" w:eastAsia="Times New Roman" w:hAnsi="Verdana"/>
          <w:b/>
        </w:rPr>
      </w:pPr>
    </w:p>
    <w:p w:rsidR="004923BF" w:rsidRPr="007923EA" w:rsidRDefault="004923BF" w:rsidP="007923EA">
      <w:pPr>
        <w:overflowPunct w:val="0"/>
        <w:autoSpaceDE w:val="0"/>
        <w:autoSpaceDN w:val="0"/>
        <w:adjustRightInd w:val="0"/>
        <w:spacing w:before="240" w:after="0"/>
        <w:rPr>
          <w:rFonts w:ascii="Verdana" w:eastAsia="Times New Roman" w:hAnsi="Verdana"/>
          <w:b/>
        </w:rPr>
      </w:pPr>
      <w:r w:rsidRPr="007923EA">
        <w:rPr>
          <w:rFonts w:ascii="Verdana" w:eastAsia="Times New Roman" w:hAnsi="Verdana"/>
          <w:b/>
        </w:rPr>
        <w:t>ISSUES</w:t>
      </w:r>
      <w:r w:rsidR="007923EA">
        <w:rPr>
          <w:rFonts w:ascii="Verdana" w:eastAsia="Times New Roman" w:hAnsi="Verdana"/>
          <w:b/>
        </w:rPr>
        <w:t xml:space="preserve"> FROM THE CAUSE(S) OF ACTION </w:t>
      </w:r>
    </w:p>
    <w:p w:rsidR="001E7B23" w:rsidRPr="007923EA" w:rsidRDefault="001E7B23" w:rsidP="007923EA">
      <w:pPr>
        <w:autoSpaceDE w:val="0"/>
        <w:autoSpaceDN w:val="0"/>
        <w:adjustRightInd w:val="0"/>
        <w:spacing w:before="240" w:after="0"/>
        <w:jc w:val="both"/>
        <w:rPr>
          <w:rFonts w:ascii="Verdana" w:eastAsia="Times New Roman" w:hAnsi="Verdana"/>
        </w:rPr>
      </w:pPr>
      <w:r w:rsidRPr="007923EA">
        <w:rPr>
          <w:rFonts w:ascii="Verdana" w:eastAsia="Times New Roman" w:hAnsi="Verdana"/>
        </w:rPr>
        <w:t>CRIMINAL LAW</w:t>
      </w:r>
      <w:r w:rsidR="00CA1187" w:rsidRPr="007923EA">
        <w:rPr>
          <w:rFonts w:ascii="Verdana" w:eastAsia="Times New Roman" w:hAnsi="Verdana"/>
        </w:rPr>
        <w:t xml:space="preserve"> AND PROCEDURE</w:t>
      </w:r>
      <w:r w:rsidRPr="007923EA">
        <w:rPr>
          <w:rFonts w:ascii="Verdana" w:eastAsia="Times New Roman" w:hAnsi="Verdana"/>
        </w:rPr>
        <w:t>:- Culpable homicide punishable with death - Proof of age of accused person at time commission of offence – Where determination is based on the evidence of a medical do</w:t>
      </w:r>
      <w:r w:rsidR="00A51765" w:rsidRPr="007923EA">
        <w:rPr>
          <w:rFonts w:ascii="Verdana" w:eastAsia="Times New Roman" w:hAnsi="Verdana"/>
        </w:rPr>
        <w:t>ctor and judge’s observation – W</w:t>
      </w:r>
      <w:r w:rsidRPr="007923EA">
        <w:rPr>
          <w:rFonts w:ascii="Verdana" w:eastAsia="Times New Roman" w:hAnsi="Verdana"/>
        </w:rPr>
        <w:t xml:space="preserve">hether absence of </w:t>
      </w:r>
      <w:proofErr w:type="spellStart"/>
      <w:r w:rsidRPr="007923EA">
        <w:rPr>
          <w:rFonts w:ascii="Verdana" w:eastAsia="Times New Roman" w:hAnsi="Verdana"/>
        </w:rPr>
        <w:t>accused’s</w:t>
      </w:r>
      <w:proofErr w:type="spellEnd"/>
      <w:r w:rsidRPr="007923EA">
        <w:rPr>
          <w:rFonts w:ascii="Verdana" w:eastAsia="Times New Roman" w:hAnsi="Verdana"/>
        </w:rPr>
        <w:t xml:space="preserve"> cou</w:t>
      </w:r>
      <w:r w:rsidR="00CA1187" w:rsidRPr="007923EA">
        <w:rPr>
          <w:rFonts w:ascii="Verdana" w:eastAsia="Times New Roman" w:hAnsi="Verdana"/>
        </w:rPr>
        <w:t>nsel</w:t>
      </w:r>
      <w:r w:rsidRPr="007923EA">
        <w:rPr>
          <w:rFonts w:ascii="Verdana" w:eastAsia="Times New Roman" w:hAnsi="Verdana"/>
        </w:rPr>
        <w:t xml:space="preserve"> with leave of court </w:t>
      </w:r>
      <w:r w:rsidR="00CA1187" w:rsidRPr="007923EA">
        <w:rPr>
          <w:rFonts w:ascii="Verdana" w:eastAsia="Times New Roman" w:hAnsi="Verdana"/>
        </w:rPr>
        <w:t xml:space="preserve">on day medical evidence was given </w:t>
      </w:r>
      <w:r w:rsidRPr="007923EA">
        <w:rPr>
          <w:rFonts w:ascii="Verdana" w:eastAsia="Times New Roman" w:hAnsi="Verdana"/>
        </w:rPr>
        <w:t xml:space="preserve">made the </w:t>
      </w:r>
      <w:r w:rsidR="00CA1187" w:rsidRPr="007923EA">
        <w:rPr>
          <w:rFonts w:ascii="Verdana" w:eastAsia="Times New Roman" w:hAnsi="Verdana"/>
        </w:rPr>
        <w:t xml:space="preserve">proceeding irregular – Proper order of court in such circumstances </w:t>
      </w:r>
    </w:p>
    <w:p w:rsidR="007923EA" w:rsidRPr="007923EA" w:rsidRDefault="007923EA" w:rsidP="007923EA">
      <w:pPr>
        <w:autoSpaceDE w:val="0"/>
        <w:autoSpaceDN w:val="0"/>
        <w:adjustRightInd w:val="0"/>
        <w:spacing w:before="240" w:after="0"/>
        <w:jc w:val="both"/>
        <w:rPr>
          <w:rFonts w:ascii="Verdana" w:eastAsia="Times New Roman" w:hAnsi="Verdana"/>
        </w:rPr>
      </w:pPr>
      <w:r w:rsidRPr="007923EA">
        <w:rPr>
          <w:rFonts w:ascii="Verdana" w:eastAsia="Times New Roman" w:hAnsi="Verdana"/>
        </w:rPr>
        <w:t xml:space="preserve">CHILDREN AND WOMEN LAW:- Young people and justice administration – Young </w:t>
      </w:r>
      <w:proofErr w:type="spellStart"/>
      <w:r w:rsidRPr="007923EA">
        <w:rPr>
          <w:rFonts w:ascii="Verdana" w:eastAsia="Times New Roman" w:hAnsi="Verdana"/>
        </w:rPr>
        <w:t>persons</w:t>
      </w:r>
      <w:proofErr w:type="spellEnd"/>
      <w:r w:rsidRPr="007923EA">
        <w:rPr>
          <w:rFonts w:ascii="Verdana" w:eastAsia="Times New Roman" w:hAnsi="Verdana"/>
        </w:rPr>
        <w:t xml:space="preserve"> facing criminal trial – Need to determine their age before conviction and sentencing – Where such determination followed an irregular proceeding which denied accused opportunity to cross-examine adverse evidence upon which determination was made – How treated by court</w:t>
      </w:r>
    </w:p>
    <w:p w:rsidR="005412C3" w:rsidRPr="007923EA" w:rsidRDefault="005412C3" w:rsidP="007923EA">
      <w:pPr>
        <w:autoSpaceDE w:val="0"/>
        <w:autoSpaceDN w:val="0"/>
        <w:adjustRightInd w:val="0"/>
        <w:spacing w:before="240" w:after="0"/>
        <w:jc w:val="both"/>
        <w:rPr>
          <w:rFonts w:ascii="Verdana" w:eastAsia="Times New Roman" w:hAnsi="Verdana"/>
        </w:rPr>
      </w:pPr>
      <w:r w:rsidRPr="007923EA">
        <w:rPr>
          <w:rFonts w:ascii="Verdana" w:eastAsia="Times New Roman" w:hAnsi="Verdana"/>
        </w:rPr>
        <w:t>HEALTHCARE AND LAW:</w:t>
      </w:r>
      <w:r w:rsidR="00A51765" w:rsidRPr="007923EA">
        <w:rPr>
          <w:rFonts w:ascii="Verdana" w:eastAsia="Times New Roman" w:hAnsi="Verdana"/>
        </w:rPr>
        <w:t xml:space="preserve"> </w:t>
      </w:r>
      <w:r w:rsidRPr="007923EA">
        <w:rPr>
          <w:rFonts w:ascii="Verdana" w:eastAsia="Times New Roman" w:hAnsi="Verdana"/>
        </w:rPr>
        <w:t xml:space="preserve">- Medical evidence and criminal justice – Alleged minor charged with culpable homicide punishable with death – Propriety of </w:t>
      </w:r>
      <w:r w:rsidR="00547C68" w:rsidRPr="007923EA">
        <w:rPr>
          <w:rFonts w:ascii="Verdana" w:eastAsia="Times New Roman" w:hAnsi="Verdana"/>
        </w:rPr>
        <w:t xml:space="preserve">declaring accused an adult based on </w:t>
      </w:r>
      <w:r w:rsidR="00B51C3B" w:rsidRPr="007923EA">
        <w:rPr>
          <w:rFonts w:ascii="Verdana" w:eastAsia="Times New Roman" w:hAnsi="Verdana"/>
        </w:rPr>
        <w:t xml:space="preserve">a </w:t>
      </w:r>
      <w:r w:rsidR="00547C68" w:rsidRPr="007923EA">
        <w:rPr>
          <w:rFonts w:ascii="Verdana" w:eastAsia="Times New Roman" w:hAnsi="Verdana"/>
        </w:rPr>
        <w:t>medical examination</w:t>
      </w:r>
      <w:r w:rsidR="00B51C3B" w:rsidRPr="007923EA">
        <w:rPr>
          <w:rFonts w:ascii="Verdana" w:eastAsia="Times New Roman" w:hAnsi="Verdana"/>
        </w:rPr>
        <w:t>,</w:t>
      </w:r>
      <w:r w:rsidR="00547C68" w:rsidRPr="007923EA">
        <w:rPr>
          <w:rFonts w:ascii="Verdana" w:eastAsia="Times New Roman" w:hAnsi="Verdana"/>
        </w:rPr>
        <w:t xml:space="preserve"> </w:t>
      </w:r>
      <w:r w:rsidR="00A51765" w:rsidRPr="007923EA">
        <w:rPr>
          <w:rFonts w:ascii="Verdana" w:eastAsia="Times New Roman" w:hAnsi="Verdana"/>
        </w:rPr>
        <w:t>evidence</w:t>
      </w:r>
      <w:r w:rsidR="00547C68" w:rsidRPr="007923EA">
        <w:rPr>
          <w:rFonts w:ascii="Verdana" w:eastAsia="Times New Roman" w:hAnsi="Verdana"/>
        </w:rPr>
        <w:t xml:space="preserve"> which was not challenged via cross-examination</w:t>
      </w:r>
      <w:r w:rsidR="00B51C3B" w:rsidRPr="007923EA">
        <w:rPr>
          <w:rFonts w:ascii="Verdana" w:eastAsia="Times New Roman" w:hAnsi="Verdana"/>
        </w:rPr>
        <w:t xml:space="preserve"> by </w:t>
      </w:r>
      <w:proofErr w:type="spellStart"/>
      <w:r w:rsidR="00B51C3B" w:rsidRPr="007923EA">
        <w:rPr>
          <w:rFonts w:ascii="Verdana" w:eastAsia="Times New Roman" w:hAnsi="Verdana"/>
        </w:rPr>
        <w:t>accused’s</w:t>
      </w:r>
      <w:proofErr w:type="spellEnd"/>
      <w:r w:rsidR="00B51C3B" w:rsidRPr="007923EA">
        <w:rPr>
          <w:rFonts w:ascii="Verdana" w:eastAsia="Times New Roman" w:hAnsi="Verdana"/>
        </w:rPr>
        <w:t xml:space="preserve"> counsel</w:t>
      </w:r>
      <w:r w:rsidR="00547C68" w:rsidRPr="007923EA">
        <w:rPr>
          <w:rFonts w:ascii="Verdana" w:eastAsia="Times New Roman" w:hAnsi="Verdana"/>
        </w:rPr>
        <w:t xml:space="preserve"> – Implications for justice administration </w:t>
      </w:r>
    </w:p>
    <w:p w:rsidR="007923EA" w:rsidRDefault="007923EA" w:rsidP="007923EA">
      <w:pPr>
        <w:autoSpaceDE w:val="0"/>
        <w:autoSpaceDN w:val="0"/>
        <w:adjustRightInd w:val="0"/>
        <w:spacing w:before="240" w:after="0"/>
        <w:jc w:val="both"/>
        <w:rPr>
          <w:rFonts w:ascii="Verdana" w:eastAsia="Times New Roman" w:hAnsi="Verdana"/>
          <w:b/>
        </w:rPr>
      </w:pPr>
    </w:p>
    <w:p w:rsidR="007923EA" w:rsidRDefault="00CA1187" w:rsidP="007923EA">
      <w:pPr>
        <w:autoSpaceDE w:val="0"/>
        <w:autoSpaceDN w:val="0"/>
        <w:adjustRightInd w:val="0"/>
        <w:spacing w:before="240" w:after="0"/>
        <w:jc w:val="both"/>
        <w:rPr>
          <w:rFonts w:ascii="Verdana" w:eastAsia="Times New Roman" w:hAnsi="Verdana"/>
          <w:b/>
        </w:rPr>
      </w:pPr>
      <w:r w:rsidRPr="007923EA">
        <w:rPr>
          <w:rFonts w:ascii="Verdana" w:eastAsia="Times New Roman" w:hAnsi="Verdana"/>
          <w:b/>
        </w:rPr>
        <w:t>PRACTICE AND PROCEDURE</w:t>
      </w:r>
      <w:r w:rsidR="007923EA">
        <w:rPr>
          <w:rFonts w:ascii="Verdana" w:eastAsia="Times New Roman" w:hAnsi="Verdana"/>
          <w:b/>
        </w:rPr>
        <w:t xml:space="preserve"> ISSUES</w:t>
      </w:r>
    </w:p>
    <w:p w:rsidR="00CA1187" w:rsidRPr="007923EA" w:rsidRDefault="00CA1187" w:rsidP="007923EA">
      <w:pPr>
        <w:autoSpaceDE w:val="0"/>
        <w:autoSpaceDN w:val="0"/>
        <w:adjustRightInd w:val="0"/>
        <w:spacing w:before="240" w:after="0"/>
        <w:jc w:val="both"/>
        <w:rPr>
          <w:rFonts w:ascii="Verdana" w:eastAsia="Times New Roman" w:hAnsi="Verdana"/>
        </w:rPr>
      </w:pPr>
      <w:r w:rsidRPr="007923EA">
        <w:rPr>
          <w:rFonts w:ascii="Verdana" w:eastAsia="Times New Roman" w:hAnsi="Verdana"/>
        </w:rPr>
        <w:t>EVIDENCE:</w:t>
      </w:r>
      <w:r w:rsidR="00A51765" w:rsidRPr="007923EA">
        <w:rPr>
          <w:rFonts w:ascii="Verdana" w:eastAsia="Times New Roman" w:hAnsi="Verdana"/>
        </w:rPr>
        <w:t xml:space="preserve"> - Medical</w:t>
      </w:r>
      <w:r w:rsidRPr="007923EA">
        <w:rPr>
          <w:rFonts w:ascii="Verdana" w:eastAsia="Times New Roman" w:hAnsi="Verdana"/>
        </w:rPr>
        <w:t xml:space="preserve"> evidence towards the determination of age of person charged with culpable homicide punishable with death – Where given without opportunity for cross-examination - Effect</w:t>
      </w:r>
    </w:p>
    <w:p w:rsidR="001E7B23" w:rsidRPr="007923EA" w:rsidRDefault="001E7B23" w:rsidP="007923EA">
      <w:pPr>
        <w:overflowPunct w:val="0"/>
        <w:autoSpaceDE w:val="0"/>
        <w:autoSpaceDN w:val="0"/>
        <w:adjustRightInd w:val="0"/>
        <w:spacing w:before="240" w:after="0"/>
        <w:jc w:val="both"/>
        <w:rPr>
          <w:rFonts w:ascii="Verdana" w:eastAsia="Times New Roman" w:hAnsi="Verdana"/>
        </w:rPr>
      </w:pPr>
      <w:r w:rsidRPr="007923EA">
        <w:rPr>
          <w:rFonts w:ascii="Verdana" w:eastAsia="Times New Roman" w:hAnsi="Verdana"/>
        </w:rPr>
        <w:lastRenderedPageBreak/>
        <w:t>INTERPRETATION OF STATUTES</w:t>
      </w:r>
      <w:r w:rsidR="00CA1187" w:rsidRPr="007923EA">
        <w:rPr>
          <w:rFonts w:ascii="Verdana" w:eastAsia="Times New Roman" w:hAnsi="Verdana"/>
        </w:rPr>
        <w:t>:</w:t>
      </w:r>
      <w:r w:rsidR="00A51765" w:rsidRPr="007923EA">
        <w:rPr>
          <w:rFonts w:ascii="Verdana" w:eastAsia="Times New Roman" w:hAnsi="Verdana"/>
        </w:rPr>
        <w:t xml:space="preserve"> </w:t>
      </w:r>
      <w:r w:rsidR="00CA1187" w:rsidRPr="007923EA">
        <w:rPr>
          <w:rFonts w:ascii="Verdana" w:eastAsia="Times New Roman" w:hAnsi="Verdana"/>
        </w:rPr>
        <w:t>- S</w:t>
      </w:r>
      <w:r w:rsidRPr="007923EA">
        <w:rPr>
          <w:rFonts w:ascii="Verdana" w:eastAsia="Times New Roman" w:hAnsi="Verdana"/>
        </w:rPr>
        <w:t>ection 272(1) of the Criminal Procedure Code</w:t>
      </w:r>
      <w:r w:rsidR="00CA1187" w:rsidRPr="007923EA">
        <w:rPr>
          <w:rFonts w:ascii="Verdana" w:eastAsia="Times New Roman" w:hAnsi="Verdana"/>
        </w:rPr>
        <w:t>, s. 33(d) of the Supreme Court Act - Effect</w:t>
      </w:r>
    </w:p>
    <w:p w:rsidR="004923BF" w:rsidRPr="007923EA" w:rsidRDefault="004923BF" w:rsidP="007923EA">
      <w:pPr>
        <w:overflowPunct w:val="0"/>
        <w:autoSpaceDE w:val="0"/>
        <w:autoSpaceDN w:val="0"/>
        <w:adjustRightInd w:val="0"/>
        <w:spacing w:before="240" w:after="0"/>
        <w:jc w:val="both"/>
        <w:rPr>
          <w:rFonts w:ascii="Verdana" w:eastAsia="Times New Roman" w:hAnsi="Verdana"/>
        </w:rPr>
      </w:pPr>
    </w:p>
    <w:p w:rsidR="00A07E16" w:rsidRDefault="00A07E16" w:rsidP="007923EA">
      <w:pPr>
        <w:overflowPunct w:val="0"/>
        <w:autoSpaceDE w:val="0"/>
        <w:autoSpaceDN w:val="0"/>
        <w:adjustRightInd w:val="0"/>
        <w:spacing w:before="240" w:after="0"/>
        <w:jc w:val="both"/>
        <w:rPr>
          <w:rFonts w:ascii="Verdana" w:eastAsia="Times New Roman" w:hAnsi="Verdana"/>
          <w:b/>
        </w:rPr>
      </w:pPr>
    </w:p>
    <w:p w:rsidR="001E7B23" w:rsidRDefault="001E7B23" w:rsidP="007923EA">
      <w:pPr>
        <w:overflowPunct w:val="0"/>
        <w:autoSpaceDE w:val="0"/>
        <w:autoSpaceDN w:val="0"/>
        <w:adjustRightInd w:val="0"/>
        <w:spacing w:before="240" w:after="0"/>
        <w:jc w:val="both"/>
        <w:rPr>
          <w:rFonts w:ascii="Verdana" w:eastAsia="Times New Roman" w:hAnsi="Verdana"/>
          <w:b/>
        </w:rPr>
      </w:pPr>
    </w:p>
    <w:p w:rsidR="00A07E16" w:rsidRDefault="00A07E16" w:rsidP="007923EA">
      <w:pPr>
        <w:overflowPunct w:val="0"/>
        <w:autoSpaceDE w:val="0"/>
        <w:autoSpaceDN w:val="0"/>
        <w:adjustRightInd w:val="0"/>
        <w:spacing w:before="240" w:after="0"/>
        <w:jc w:val="both"/>
        <w:rPr>
          <w:rFonts w:ascii="Verdana" w:hAnsi="Verdana"/>
          <w:b/>
        </w:rPr>
      </w:pPr>
      <w:r>
        <w:rPr>
          <w:rFonts w:ascii="Verdana" w:hAnsi="Verdana"/>
          <w:b/>
        </w:rPr>
        <w:t xml:space="preserve">MAIN JUDGMENT </w:t>
      </w:r>
    </w:p>
    <w:p w:rsidR="00A1135C" w:rsidRDefault="00A51765" w:rsidP="007923EA">
      <w:pPr>
        <w:overflowPunct w:val="0"/>
        <w:autoSpaceDE w:val="0"/>
        <w:autoSpaceDN w:val="0"/>
        <w:adjustRightInd w:val="0"/>
        <w:spacing w:before="240" w:after="0"/>
        <w:jc w:val="both"/>
        <w:rPr>
          <w:rFonts w:ascii="Verdana" w:eastAsia="Times New Roman" w:hAnsi="Verdana"/>
        </w:rPr>
      </w:pPr>
      <w:r>
        <w:rPr>
          <w:rFonts w:ascii="Verdana" w:eastAsia="Times New Roman" w:hAnsi="Verdana"/>
          <w:b/>
        </w:rPr>
        <w:t xml:space="preserve">BRETT, </w:t>
      </w:r>
      <w:r w:rsidR="00C44BAF" w:rsidRPr="006924CD">
        <w:rPr>
          <w:rFonts w:ascii="Verdana" w:eastAsia="Times New Roman" w:hAnsi="Verdana"/>
          <w:b/>
        </w:rPr>
        <w:t>J.S.C.</w:t>
      </w:r>
      <w:r w:rsidR="00C44BAF" w:rsidRPr="009064A8">
        <w:rPr>
          <w:rFonts w:ascii="Verdana" w:eastAsia="Times New Roman" w:hAnsi="Verdana"/>
        </w:rPr>
        <w:t xml:space="preserve"> (Delivering the Judgment of the Court): </w:t>
      </w:r>
    </w:p>
    <w:p w:rsidR="00C44BAF" w:rsidRDefault="00C44BAF" w:rsidP="007923EA">
      <w:pPr>
        <w:overflowPunct w:val="0"/>
        <w:autoSpaceDE w:val="0"/>
        <w:autoSpaceDN w:val="0"/>
        <w:adjustRightInd w:val="0"/>
        <w:spacing w:before="240" w:after="0"/>
        <w:jc w:val="both"/>
        <w:rPr>
          <w:rFonts w:ascii="Verdana" w:eastAsia="Times New Roman" w:hAnsi="Verdana"/>
        </w:rPr>
      </w:pPr>
      <w:r w:rsidRPr="009064A8">
        <w:rPr>
          <w:rFonts w:ascii="Verdana" w:eastAsia="Times New Roman" w:hAnsi="Verdana"/>
        </w:rPr>
        <w:t>The appellant was convicted by Jones J. in the High Court of Northern Nigeria on a charge of culpable homicide punishable with death, and sentenced to death. Mr. J. A. Cole has found nothing to urge in support of the appeal against conviction and we are satisfied that it must be dismissed.</w:t>
      </w:r>
    </w:p>
    <w:p w:rsidR="007923EA" w:rsidRDefault="007923EA" w:rsidP="007923EA">
      <w:pPr>
        <w:overflowPunct w:val="0"/>
        <w:autoSpaceDE w:val="0"/>
        <w:autoSpaceDN w:val="0"/>
        <w:adjustRightInd w:val="0"/>
        <w:spacing w:before="240" w:after="0"/>
        <w:jc w:val="both"/>
        <w:rPr>
          <w:rFonts w:ascii="Verdana" w:eastAsia="Times New Roman" w:hAnsi="Verdana"/>
        </w:rPr>
      </w:pPr>
    </w:p>
    <w:p w:rsidR="00C44BAF" w:rsidRPr="009064A8" w:rsidRDefault="00C44BAF" w:rsidP="007923EA">
      <w:pPr>
        <w:overflowPunct w:val="0"/>
        <w:autoSpaceDE w:val="0"/>
        <w:autoSpaceDN w:val="0"/>
        <w:adjustRightInd w:val="0"/>
        <w:spacing w:before="240" w:after="0"/>
        <w:jc w:val="both"/>
        <w:rPr>
          <w:rFonts w:ascii="Verdana" w:eastAsia="Times New Roman" w:hAnsi="Verdana"/>
        </w:rPr>
      </w:pPr>
      <w:r w:rsidRPr="009064A8">
        <w:rPr>
          <w:rFonts w:ascii="Verdana" w:eastAsia="Times New Roman" w:hAnsi="Verdana"/>
        </w:rPr>
        <w:t>Mr. Cole has, however, submitted that the appellant was wrongly sentenced to death. Section 272(1) of the Criminal Procedure Code reads:-</w:t>
      </w:r>
    </w:p>
    <w:p w:rsidR="00C44BAF" w:rsidRDefault="00C44BAF" w:rsidP="007923EA">
      <w:pPr>
        <w:overflowPunct w:val="0"/>
        <w:autoSpaceDE w:val="0"/>
        <w:autoSpaceDN w:val="0"/>
        <w:adjustRightInd w:val="0"/>
        <w:spacing w:before="240" w:after="0"/>
        <w:ind w:left="720"/>
        <w:jc w:val="both"/>
        <w:rPr>
          <w:rFonts w:ascii="Verdana" w:eastAsia="Times New Roman" w:hAnsi="Verdana"/>
        </w:rPr>
      </w:pPr>
      <w:r w:rsidRPr="009064A8">
        <w:rPr>
          <w:rFonts w:ascii="Verdana" w:eastAsia="Times New Roman" w:hAnsi="Verdana"/>
        </w:rPr>
        <w:t>“Where a person is convicted of an offence punishable with death and it appears to the court by which he is convicted that he was under the age of seventeen when he committed the offence the court shall order that he be detained during the Governor’s pleasure, and if the court so orders, he shall be detained in accordance with the provisions of section 303, notwithstanding anything to the contrary in any written law.”</w:t>
      </w:r>
    </w:p>
    <w:p w:rsidR="007923EA" w:rsidRDefault="007923EA" w:rsidP="007923EA">
      <w:pPr>
        <w:overflowPunct w:val="0"/>
        <w:autoSpaceDE w:val="0"/>
        <w:autoSpaceDN w:val="0"/>
        <w:adjustRightInd w:val="0"/>
        <w:spacing w:before="240" w:after="0"/>
        <w:jc w:val="both"/>
        <w:rPr>
          <w:rFonts w:ascii="Verdana" w:eastAsia="Times New Roman" w:hAnsi="Verdana"/>
        </w:rPr>
      </w:pPr>
    </w:p>
    <w:p w:rsidR="001E7B23" w:rsidRPr="009064A8" w:rsidRDefault="00C44BAF" w:rsidP="007923EA">
      <w:pPr>
        <w:overflowPunct w:val="0"/>
        <w:autoSpaceDE w:val="0"/>
        <w:autoSpaceDN w:val="0"/>
        <w:adjustRightInd w:val="0"/>
        <w:spacing w:before="240" w:after="0"/>
        <w:jc w:val="both"/>
        <w:rPr>
          <w:rFonts w:ascii="Verdana" w:eastAsia="Times New Roman" w:hAnsi="Verdana"/>
        </w:rPr>
      </w:pPr>
      <w:r w:rsidRPr="009064A8">
        <w:rPr>
          <w:rFonts w:ascii="Verdana" w:eastAsia="Times New Roman" w:hAnsi="Verdana"/>
        </w:rPr>
        <w:t>The appellant’s age was in issue at the trial and Mr. Cole’s submission is that the evidence on which the Judge was satisfied that the appellant was over the age of seventeen when he committed the offence was taken in irregular circumstances.</w:t>
      </w:r>
    </w:p>
    <w:p w:rsidR="007923EA" w:rsidRDefault="007923EA" w:rsidP="007923EA">
      <w:pPr>
        <w:overflowPunct w:val="0"/>
        <w:autoSpaceDE w:val="0"/>
        <w:autoSpaceDN w:val="0"/>
        <w:adjustRightInd w:val="0"/>
        <w:spacing w:before="240" w:after="0"/>
        <w:jc w:val="both"/>
        <w:rPr>
          <w:rFonts w:ascii="Verdana" w:eastAsia="Times New Roman" w:hAnsi="Verdana"/>
        </w:rPr>
      </w:pPr>
    </w:p>
    <w:p w:rsidR="001E7B23" w:rsidRDefault="00C44BAF" w:rsidP="007923EA">
      <w:pPr>
        <w:overflowPunct w:val="0"/>
        <w:autoSpaceDE w:val="0"/>
        <w:autoSpaceDN w:val="0"/>
        <w:adjustRightInd w:val="0"/>
        <w:spacing w:before="240" w:after="0"/>
        <w:jc w:val="both"/>
        <w:rPr>
          <w:rFonts w:ascii="Verdana" w:eastAsia="Times New Roman" w:hAnsi="Verdana"/>
        </w:rPr>
      </w:pPr>
      <w:r w:rsidRPr="009064A8">
        <w:rPr>
          <w:rFonts w:ascii="Verdana" w:eastAsia="Times New Roman" w:hAnsi="Verdana"/>
        </w:rPr>
        <w:lastRenderedPageBreak/>
        <w:t>The offence was committed in February, 1967. The trial in the High Court started at Maiduguri on the 20th November, 1967, with Mr. Brown-</w:t>
      </w:r>
      <w:proofErr w:type="spellStart"/>
      <w:r w:rsidRPr="009064A8">
        <w:rPr>
          <w:rFonts w:ascii="Verdana" w:eastAsia="Times New Roman" w:hAnsi="Verdana"/>
        </w:rPr>
        <w:t>Peterside</w:t>
      </w:r>
      <w:proofErr w:type="spellEnd"/>
      <w:r w:rsidRPr="009064A8">
        <w:rPr>
          <w:rFonts w:ascii="Verdana" w:eastAsia="Times New Roman" w:hAnsi="Verdana"/>
        </w:rPr>
        <w:t xml:space="preserve"> appearing for the defence. The appellant gave evidence in the course of which he said</w:t>
      </w:r>
    </w:p>
    <w:p w:rsidR="00C44BAF" w:rsidRDefault="00C44BAF" w:rsidP="007923EA">
      <w:pPr>
        <w:overflowPunct w:val="0"/>
        <w:autoSpaceDE w:val="0"/>
        <w:autoSpaceDN w:val="0"/>
        <w:adjustRightInd w:val="0"/>
        <w:spacing w:before="240" w:after="0"/>
        <w:ind w:firstLine="720"/>
        <w:jc w:val="both"/>
        <w:rPr>
          <w:rFonts w:ascii="Verdana" w:eastAsia="Times New Roman" w:hAnsi="Verdana"/>
        </w:rPr>
      </w:pPr>
      <w:r w:rsidRPr="009064A8">
        <w:rPr>
          <w:rFonts w:ascii="Verdana" w:eastAsia="Times New Roman" w:hAnsi="Verdana"/>
        </w:rPr>
        <w:t>“I am 16 years old</w:t>
      </w:r>
      <w:r>
        <w:rPr>
          <w:rFonts w:ascii="Verdana" w:eastAsia="Times New Roman" w:hAnsi="Verdana"/>
        </w:rPr>
        <w:t xml:space="preserve">” </w:t>
      </w:r>
    </w:p>
    <w:p w:rsidR="00C44BAF" w:rsidRDefault="00C44BAF" w:rsidP="007923EA">
      <w:pPr>
        <w:overflowPunct w:val="0"/>
        <w:autoSpaceDE w:val="0"/>
        <w:autoSpaceDN w:val="0"/>
        <w:adjustRightInd w:val="0"/>
        <w:spacing w:before="240" w:after="0"/>
        <w:jc w:val="both"/>
        <w:rPr>
          <w:rFonts w:ascii="Verdana" w:eastAsia="Times New Roman" w:hAnsi="Verdana"/>
        </w:rPr>
      </w:pPr>
      <w:proofErr w:type="gramStart"/>
      <w:r>
        <w:rPr>
          <w:rFonts w:ascii="Verdana" w:eastAsia="Times New Roman" w:hAnsi="Verdana"/>
        </w:rPr>
        <w:t>and</w:t>
      </w:r>
      <w:proofErr w:type="gramEnd"/>
      <w:r>
        <w:rPr>
          <w:rFonts w:ascii="Verdana" w:eastAsia="Times New Roman" w:hAnsi="Verdana"/>
        </w:rPr>
        <w:t xml:space="preserve"> under cross-examination </w:t>
      </w:r>
    </w:p>
    <w:p w:rsidR="00C44BAF" w:rsidRDefault="00C44BAF" w:rsidP="007923EA">
      <w:pPr>
        <w:overflowPunct w:val="0"/>
        <w:autoSpaceDE w:val="0"/>
        <w:autoSpaceDN w:val="0"/>
        <w:adjustRightInd w:val="0"/>
        <w:spacing w:before="240" w:after="0"/>
        <w:ind w:left="720"/>
        <w:jc w:val="both"/>
        <w:rPr>
          <w:rFonts w:ascii="Verdana" w:eastAsia="Times New Roman" w:hAnsi="Verdana"/>
        </w:rPr>
      </w:pPr>
      <w:r>
        <w:rPr>
          <w:rFonts w:ascii="Verdana" w:eastAsia="Times New Roman" w:hAnsi="Verdana"/>
        </w:rPr>
        <w:t>“I</w:t>
      </w:r>
      <w:r w:rsidRPr="009064A8">
        <w:rPr>
          <w:rFonts w:ascii="Verdana" w:eastAsia="Times New Roman" w:hAnsi="Verdana"/>
        </w:rPr>
        <w:t xml:space="preserve"> do not know what year I was born. I have heard my father say I am 16 years old. I am not 20 years old.” </w:t>
      </w:r>
    </w:p>
    <w:p w:rsidR="007923EA" w:rsidRDefault="007923EA" w:rsidP="007923EA">
      <w:pPr>
        <w:overflowPunct w:val="0"/>
        <w:autoSpaceDE w:val="0"/>
        <w:autoSpaceDN w:val="0"/>
        <w:adjustRightInd w:val="0"/>
        <w:spacing w:before="240" w:after="0"/>
        <w:jc w:val="both"/>
        <w:rPr>
          <w:rFonts w:ascii="Verdana" w:eastAsia="Times New Roman" w:hAnsi="Verdana"/>
        </w:rPr>
      </w:pPr>
    </w:p>
    <w:p w:rsidR="00C44BAF" w:rsidRPr="009064A8" w:rsidRDefault="00C44BAF" w:rsidP="007923EA">
      <w:pPr>
        <w:overflowPunct w:val="0"/>
        <w:autoSpaceDE w:val="0"/>
        <w:autoSpaceDN w:val="0"/>
        <w:adjustRightInd w:val="0"/>
        <w:spacing w:before="240" w:after="0"/>
        <w:jc w:val="both"/>
        <w:rPr>
          <w:rFonts w:ascii="Verdana" w:eastAsia="Times New Roman" w:hAnsi="Verdana"/>
        </w:rPr>
      </w:pPr>
      <w:r w:rsidRPr="009064A8">
        <w:rPr>
          <w:rFonts w:ascii="Verdana" w:eastAsia="Times New Roman" w:hAnsi="Verdana"/>
        </w:rPr>
        <w:t>The evidence and addresses were completed on the 20th November, and the record then reads:-</w:t>
      </w:r>
    </w:p>
    <w:p w:rsidR="00C44BAF" w:rsidRDefault="00C44BAF" w:rsidP="007923EA">
      <w:pPr>
        <w:overflowPunct w:val="0"/>
        <w:autoSpaceDE w:val="0"/>
        <w:autoSpaceDN w:val="0"/>
        <w:adjustRightInd w:val="0"/>
        <w:spacing w:before="240" w:after="0"/>
        <w:ind w:firstLine="720"/>
        <w:jc w:val="both"/>
        <w:rPr>
          <w:rFonts w:ascii="Verdana" w:eastAsia="Times New Roman" w:hAnsi="Verdana"/>
        </w:rPr>
      </w:pPr>
      <w:proofErr w:type="gramStart"/>
      <w:r w:rsidRPr="009064A8">
        <w:rPr>
          <w:rFonts w:ascii="Verdana" w:eastAsia="Times New Roman" w:hAnsi="Verdana"/>
        </w:rPr>
        <w:t>“Adjourned for judgment to 22nd November 1967.</w:t>
      </w:r>
      <w:proofErr w:type="gramEnd"/>
      <w:r w:rsidRPr="009064A8">
        <w:rPr>
          <w:rFonts w:ascii="Verdana" w:eastAsia="Times New Roman" w:hAnsi="Verdana"/>
        </w:rPr>
        <w:t xml:space="preserve"> </w:t>
      </w:r>
    </w:p>
    <w:p w:rsidR="00C44BAF" w:rsidRDefault="00C44BAF" w:rsidP="007923EA">
      <w:pPr>
        <w:overflowPunct w:val="0"/>
        <w:autoSpaceDE w:val="0"/>
        <w:autoSpaceDN w:val="0"/>
        <w:adjustRightInd w:val="0"/>
        <w:spacing w:before="240" w:after="0"/>
        <w:ind w:left="1440" w:hanging="720"/>
        <w:jc w:val="both"/>
        <w:rPr>
          <w:rFonts w:ascii="Verdana" w:eastAsia="Times New Roman" w:hAnsi="Verdana"/>
        </w:rPr>
      </w:pPr>
      <w:r>
        <w:rPr>
          <w:rFonts w:ascii="Verdana" w:eastAsia="Times New Roman" w:hAnsi="Verdana"/>
        </w:rPr>
        <w:t xml:space="preserve">Brown- </w:t>
      </w:r>
      <w:proofErr w:type="spellStart"/>
      <w:r>
        <w:rPr>
          <w:rFonts w:ascii="Verdana" w:eastAsia="Times New Roman" w:hAnsi="Verdana"/>
        </w:rPr>
        <w:t>Peterside</w:t>
      </w:r>
      <w:proofErr w:type="spellEnd"/>
      <w:r w:rsidR="001E7B23">
        <w:rPr>
          <w:rFonts w:ascii="Verdana" w:eastAsia="Times New Roman" w:hAnsi="Verdana"/>
        </w:rPr>
        <w:t>:</w:t>
      </w:r>
      <w:r>
        <w:rPr>
          <w:rFonts w:ascii="Verdana" w:eastAsia="Times New Roman" w:hAnsi="Verdana"/>
        </w:rPr>
        <w:tab/>
      </w:r>
      <w:r w:rsidRPr="009064A8">
        <w:rPr>
          <w:rFonts w:ascii="Verdana" w:eastAsia="Times New Roman" w:hAnsi="Verdana"/>
        </w:rPr>
        <w:t>May I be excused from attending at judgment? I have an important matter in High Court, Jos on Thursday 23rd November.</w:t>
      </w:r>
    </w:p>
    <w:p w:rsidR="00C44BAF" w:rsidRDefault="001E7B23" w:rsidP="007923EA">
      <w:pPr>
        <w:overflowPunct w:val="0"/>
        <w:autoSpaceDE w:val="0"/>
        <w:autoSpaceDN w:val="0"/>
        <w:adjustRightInd w:val="0"/>
        <w:spacing w:before="240" w:after="0"/>
        <w:ind w:left="1440" w:hanging="720"/>
        <w:jc w:val="both"/>
        <w:rPr>
          <w:rFonts w:ascii="Verdana" w:eastAsia="Times New Roman" w:hAnsi="Verdana"/>
        </w:rPr>
      </w:pPr>
      <w:r>
        <w:rPr>
          <w:rFonts w:ascii="Verdana" w:eastAsia="Times New Roman" w:hAnsi="Verdana"/>
        </w:rPr>
        <w:t>Court:</w:t>
      </w:r>
      <w:r>
        <w:rPr>
          <w:rFonts w:ascii="Verdana" w:eastAsia="Times New Roman" w:hAnsi="Verdana"/>
        </w:rPr>
        <w:tab/>
        <w:t xml:space="preserve"> </w:t>
      </w:r>
      <w:r w:rsidR="00C44BAF" w:rsidRPr="009064A8">
        <w:rPr>
          <w:rFonts w:ascii="Verdana" w:eastAsia="Times New Roman" w:hAnsi="Verdana"/>
        </w:rPr>
        <w:t>Mr. Brown-</w:t>
      </w:r>
      <w:proofErr w:type="spellStart"/>
      <w:r w:rsidR="00C44BAF" w:rsidRPr="009064A8">
        <w:rPr>
          <w:rFonts w:ascii="Verdana" w:eastAsia="Times New Roman" w:hAnsi="Verdana"/>
        </w:rPr>
        <w:t>Peterside</w:t>
      </w:r>
      <w:proofErr w:type="spellEnd"/>
      <w:r w:rsidR="00C44BAF" w:rsidRPr="009064A8">
        <w:rPr>
          <w:rFonts w:ascii="Verdana" w:eastAsia="Times New Roman" w:hAnsi="Verdana"/>
        </w:rPr>
        <w:t xml:space="preserve"> took on this brief at short notice. He is excused from attending judgment to 22nd November 1967.”</w:t>
      </w:r>
    </w:p>
    <w:p w:rsidR="007923EA" w:rsidRDefault="007923EA" w:rsidP="007923EA">
      <w:pPr>
        <w:overflowPunct w:val="0"/>
        <w:autoSpaceDE w:val="0"/>
        <w:autoSpaceDN w:val="0"/>
        <w:adjustRightInd w:val="0"/>
        <w:spacing w:before="240" w:after="0"/>
        <w:jc w:val="both"/>
        <w:rPr>
          <w:rFonts w:ascii="Verdana" w:eastAsia="Times New Roman" w:hAnsi="Verdana"/>
        </w:rPr>
      </w:pPr>
    </w:p>
    <w:p w:rsidR="00C44BAF" w:rsidRDefault="00C44BAF" w:rsidP="007923EA">
      <w:pPr>
        <w:overflowPunct w:val="0"/>
        <w:autoSpaceDE w:val="0"/>
        <w:autoSpaceDN w:val="0"/>
        <w:adjustRightInd w:val="0"/>
        <w:spacing w:before="240" w:after="0"/>
        <w:jc w:val="both"/>
        <w:rPr>
          <w:rFonts w:ascii="Verdana" w:eastAsia="Times New Roman" w:hAnsi="Verdana"/>
        </w:rPr>
      </w:pPr>
      <w:r w:rsidRPr="009064A8">
        <w:rPr>
          <w:rFonts w:ascii="Verdana" w:eastAsia="Times New Roman" w:hAnsi="Verdana"/>
        </w:rPr>
        <w:t>On the 22nd November the appellant was p</w:t>
      </w:r>
      <w:r>
        <w:rPr>
          <w:rFonts w:ascii="Verdana" w:eastAsia="Times New Roman" w:hAnsi="Verdana"/>
        </w:rPr>
        <w:t>resent, but not Mr. Brown-</w:t>
      </w:r>
      <w:proofErr w:type="spellStart"/>
      <w:r>
        <w:rPr>
          <w:rFonts w:ascii="Verdana" w:eastAsia="Times New Roman" w:hAnsi="Verdana"/>
        </w:rPr>
        <w:t>Peter</w:t>
      </w:r>
      <w:r w:rsidRPr="009064A8">
        <w:rPr>
          <w:rFonts w:ascii="Verdana" w:eastAsia="Times New Roman" w:hAnsi="Verdana"/>
        </w:rPr>
        <w:t>side</w:t>
      </w:r>
      <w:proofErr w:type="spellEnd"/>
      <w:r w:rsidRPr="009064A8">
        <w:rPr>
          <w:rFonts w:ascii="Verdana" w:eastAsia="Times New Roman" w:hAnsi="Verdana"/>
        </w:rPr>
        <w:t xml:space="preserve">, when the judge delivered judgment convicting the appellant. At the close of his Judgment the judge called the medical officer in charge of the General Hospital, Maiduguri, who had examined the appellant and formed the opinion that he was over eighteen years of age. The appellant did not cross-examine the doctor and the judge </w:t>
      </w:r>
      <w:r w:rsidR="00A1135C">
        <w:rPr>
          <w:rFonts w:ascii="Verdana" w:eastAsia="Times New Roman" w:hAnsi="Verdana"/>
        </w:rPr>
        <w:t>s</w:t>
      </w:r>
      <w:r w:rsidRPr="009064A8">
        <w:rPr>
          <w:rFonts w:ascii="Verdana" w:eastAsia="Times New Roman" w:hAnsi="Verdana"/>
        </w:rPr>
        <w:t>aid-</w:t>
      </w:r>
    </w:p>
    <w:p w:rsidR="00C44BAF" w:rsidRDefault="00C44BAF" w:rsidP="007923EA">
      <w:pPr>
        <w:overflowPunct w:val="0"/>
        <w:autoSpaceDE w:val="0"/>
        <w:autoSpaceDN w:val="0"/>
        <w:adjustRightInd w:val="0"/>
        <w:spacing w:before="240" w:after="0"/>
        <w:ind w:left="1440" w:hanging="720"/>
        <w:jc w:val="both"/>
        <w:rPr>
          <w:rFonts w:ascii="Verdana" w:eastAsia="Times New Roman" w:hAnsi="Verdana"/>
        </w:rPr>
      </w:pPr>
      <w:r>
        <w:rPr>
          <w:rFonts w:ascii="Verdana" w:eastAsia="Times New Roman" w:hAnsi="Verdana"/>
        </w:rPr>
        <w:t>“Court:</w:t>
      </w:r>
      <w:r w:rsidR="001E7B23">
        <w:rPr>
          <w:rFonts w:ascii="Verdana" w:eastAsia="Times New Roman" w:hAnsi="Verdana"/>
        </w:rPr>
        <w:t xml:space="preserve"> </w:t>
      </w:r>
      <w:r w:rsidRPr="009064A8">
        <w:rPr>
          <w:rFonts w:ascii="Verdana" w:eastAsia="Times New Roman" w:hAnsi="Verdana"/>
        </w:rPr>
        <w:t xml:space="preserve">This offence was committed in February, 1967, that is 9 months ago. Accused says he is 16 years old now. The medical officer, having examined him says he is now over 18 years old. He appears to me to be about 20 </w:t>
      </w:r>
      <w:r w:rsidRPr="009064A8">
        <w:rPr>
          <w:rFonts w:ascii="Verdana" w:eastAsia="Times New Roman" w:hAnsi="Verdana"/>
        </w:rPr>
        <w:lastRenderedPageBreak/>
        <w:t>years old. He does not therefore appear to me to have been under 17 years old, for the purpose of section 272 C.P.C., at the</w:t>
      </w:r>
      <w:r w:rsidR="00A51765">
        <w:rPr>
          <w:rFonts w:ascii="Verdana" w:eastAsia="Times New Roman" w:hAnsi="Verdana"/>
        </w:rPr>
        <w:t xml:space="preserve"> time he committed the offence.</w:t>
      </w:r>
    </w:p>
    <w:p w:rsidR="007923EA" w:rsidRDefault="007923EA" w:rsidP="007923EA">
      <w:pPr>
        <w:overflowPunct w:val="0"/>
        <w:autoSpaceDE w:val="0"/>
        <w:autoSpaceDN w:val="0"/>
        <w:adjustRightInd w:val="0"/>
        <w:spacing w:before="240" w:after="0"/>
        <w:jc w:val="both"/>
        <w:rPr>
          <w:rFonts w:ascii="Verdana" w:eastAsia="Times New Roman" w:hAnsi="Verdana"/>
        </w:rPr>
      </w:pPr>
    </w:p>
    <w:p w:rsidR="00C44BAF" w:rsidRDefault="00C44BAF" w:rsidP="007923EA">
      <w:pPr>
        <w:overflowPunct w:val="0"/>
        <w:autoSpaceDE w:val="0"/>
        <w:autoSpaceDN w:val="0"/>
        <w:adjustRightInd w:val="0"/>
        <w:spacing w:before="240" w:after="0"/>
        <w:jc w:val="both"/>
        <w:rPr>
          <w:rFonts w:ascii="Verdana" w:eastAsia="Times New Roman" w:hAnsi="Verdana"/>
        </w:rPr>
      </w:pPr>
      <w:r w:rsidRPr="009064A8">
        <w:rPr>
          <w:rFonts w:ascii="Verdana" w:eastAsia="Times New Roman" w:hAnsi="Verdana"/>
        </w:rPr>
        <w:t>When releasing Mr. B</w:t>
      </w:r>
      <w:r>
        <w:rPr>
          <w:rFonts w:ascii="Verdana" w:eastAsia="Times New Roman" w:hAnsi="Verdana"/>
        </w:rPr>
        <w:t>r</w:t>
      </w:r>
      <w:r w:rsidRPr="009064A8">
        <w:rPr>
          <w:rFonts w:ascii="Verdana" w:eastAsia="Times New Roman" w:hAnsi="Verdana"/>
        </w:rPr>
        <w:t>own-</w:t>
      </w:r>
      <w:proofErr w:type="spellStart"/>
      <w:r w:rsidRPr="009064A8">
        <w:rPr>
          <w:rFonts w:ascii="Verdana" w:eastAsia="Times New Roman" w:hAnsi="Verdana"/>
        </w:rPr>
        <w:t>Peterside</w:t>
      </w:r>
      <w:proofErr w:type="spellEnd"/>
      <w:r w:rsidRPr="009064A8">
        <w:rPr>
          <w:rFonts w:ascii="Verdana" w:eastAsia="Times New Roman" w:hAnsi="Verdana"/>
        </w:rPr>
        <w:t xml:space="preserve"> the Judge gave no indication that in the event of his convicting the appellant he intended to call evidence as to the appellant’s age and we think Mr. Cole’s submission that </w:t>
      </w:r>
      <w:r>
        <w:rPr>
          <w:rFonts w:ascii="Verdana" w:eastAsia="Times New Roman" w:hAnsi="Verdana"/>
        </w:rPr>
        <w:t>it was irregular, in the circum</w:t>
      </w:r>
      <w:r w:rsidRPr="009064A8">
        <w:rPr>
          <w:rFonts w:ascii="Verdana" w:eastAsia="Times New Roman" w:hAnsi="Verdana"/>
        </w:rPr>
        <w:t>stances to call it without giving Mr. Brown-</w:t>
      </w:r>
      <w:proofErr w:type="spellStart"/>
      <w:r w:rsidRPr="009064A8">
        <w:rPr>
          <w:rFonts w:ascii="Verdana" w:eastAsia="Times New Roman" w:hAnsi="Verdana"/>
        </w:rPr>
        <w:t>Peterside</w:t>
      </w:r>
      <w:proofErr w:type="spellEnd"/>
      <w:r w:rsidRPr="009064A8">
        <w:rPr>
          <w:rFonts w:ascii="Verdana" w:eastAsia="Times New Roman" w:hAnsi="Verdana"/>
        </w:rPr>
        <w:t xml:space="preserve"> the opportunity of being present so as to cross-examine and address the court further is well founded. We shall follow the </w:t>
      </w:r>
      <w:r>
        <w:rPr>
          <w:rFonts w:ascii="Verdana" w:eastAsia="Times New Roman" w:hAnsi="Verdana"/>
        </w:rPr>
        <w:t xml:space="preserve">same course as in </w:t>
      </w:r>
      <w:proofErr w:type="spellStart"/>
      <w:r>
        <w:rPr>
          <w:rFonts w:ascii="Verdana" w:eastAsia="Times New Roman" w:hAnsi="Verdana"/>
        </w:rPr>
        <w:t>Oladimeji</w:t>
      </w:r>
      <w:proofErr w:type="spellEnd"/>
      <w:r w:rsidRPr="009064A8">
        <w:rPr>
          <w:rFonts w:ascii="Verdana" w:eastAsia="Times New Roman" w:hAnsi="Verdana"/>
        </w:rPr>
        <w:t xml:space="preserve"> v. The Queen (1964) N.M.L.R. 31 and refer the question for Inquiry and report to a special commissioner, under section 33(d) of the Supreme Court Act.</w:t>
      </w:r>
      <w:r w:rsidRPr="009064A8">
        <w:rPr>
          <w:rFonts w:ascii="Verdana" w:eastAsia="Times New Roman" w:hAnsi="Verdana"/>
        </w:rPr>
        <w:tab/>
        <w:t>If Jones J. is available and the Chief Justice of Northern Nigeria agrees, he will be the commissioner. The inquiry should take place in the presence of the appellant and his counsel as well as prosecuting counsel and either party is at liberty to adduce evidence and address.</w:t>
      </w:r>
    </w:p>
    <w:p w:rsidR="007923EA" w:rsidRDefault="007923EA" w:rsidP="007923EA">
      <w:pPr>
        <w:overflowPunct w:val="0"/>
        <w:autoSpaceDE w:val="0"/>
        <w:autoSpaceDN w:val="0"/>
        <w:adjustRightInd w:val="0"/>
        <w:spacing w:before="240" w:after="0"/>
        <w:jc w:val="both"/>
        <w:rPr>
          <w:rFonts w:ascii="Verdana" w:eastAsia="Times New Roman" w:hAnsi="Verdana"/>
        </w:rPr>
      </w:pPr>
    </w:p>
    <w:p w:rsidR="00C44BAF" w:rsidRDefault="00C44BAF" w:rsidP="007923EA">
      <w:pPr>
        <w:overflowPunct w:val="0"/>
        <w:autoSpaceDE w:val="0"/>
        <w:autoSpaceDN w:val="0"/>
        <w:adjustRightInd w:val="0"/>
        <w:spacing w:before="240" w:after="0"/>
        <w:jc w:val="both"/>
        <w:rPr>
          <w:rFonts w:ascii="Verdana" w:eastAsia="Times New Roman" w:hAnsi="Verdana"/>
        </w:rPr>
      </w:pPr>
      <w:r w:rsidRPr="009064A8">
        <w:rPr>
          <w:rFonts w:ascii="Verdana" w:eastAsia="Times New Roman" w:hAnsi="Verdana"/>
        </w:rPr>
        <w:t xml:space="preserve">The appeal is adjourned pending the special commissioner’s report. </w:t>
      </w:r>
    </w:p>
    <w:p w:rsidR="007923EA" w:rsidRDefault="007923EA" w:rsidP="007923EA">
      <w:pPr>
        <w:overflowPunct w:val="0"/>
        <w:autoSpaceDE w:val="0"/>
        <w:autoSpaceDN w:val="0"/>
        <w:adjustRightInd w:val="0"/>
        <w:spacing w:before="240" w:after="0"/>
        <w:jc w:val="both"/>
        <w:rPr>
          <w:rFonts w:ascii="Verdana" w:eastAsia="Times New Roman" w:hAnsi="Verdana"/>
        </w:rPr>
      </w:pPr>
    </w:p>
    <w:p w:rsidR="00C44BAF" w:rsidRPr="009064A8" w:rsidRDefault="00C44BAF" w:rsidP="007923EA">
      <w:pPr>
        <w:overflowPunct w:val="0"/>
        <w:autoSpaceDE w:val="0"/>
        <w:autoSpaceDN w:val="0"/>
        <w:adjustRightInd w:val="0"/>
        <w:spacing w:before="240" w:after="0"/>
        <w:jc w:val="both"/>
        <w:rPr>
          <w:rFonts w:ascii="Verdana" w:eastAsia="Times New Roman" w:hAnsi="Verdana"/>
        </w:rPr>
      </w:pPr>
      <w:r w:rsidRPr="009064A8">
        <w:rPr>
          <w:rFonts w:ascii="Verdana" w:eastAsia="Times New Roman" w:hAnsi="Verdana"/>
        </w:rPr>
        <w:t>Appeal adjourned pending special commissioner’s report.</w:t>
      </w:r>
    </w:p>
    <w:p w:rsidR="00C44BAF" w:rsidRPr="009064A8" w:rsidRDefault="00C44BAF" w:rsidP="007923EA">
      <w:pPr>
        <w:spacing w:before="240" w:after="0"/>
        <w:jc w:val="both"/>
        <w:rPr>
          <w:rFonts w:ascii="Verdana" w:eastAsia="Times New Roman" w:hAnsi="Verdana"/>
        </w:rPr>
      </w:pPr>
    </w:p>
    <w:p w:rsidR="00C44BAF" w:rsidRPr="009064A8" w:rsidRDefault="00C44BAF" w:rsidP="007923EA">
      <w:pPr>
        <w:spacing w:before="240"/>
        <w:jc w:val="both"/>
        <w:rPr>
          <w:rFonts w:ascii="Verdana" w:hAnsi="Verdana"/>
        </w:rPr>
      </w:pPr>
    </w:p>
    <w:p w:rsidR="007923EA" w:rsidRDefault="007923EA" w:rsidP="007923EA">
      <w:pPr>
        <w:overflowPunct w:val="0"/>
        <w:autoSpaceDE w:val="0"/>
        <w:autoSpaceDN w:val="0"/>
        <w:adjustRightInd w:val="0"/>
        <w:spacing w:before="240"/>
        <w:jc w:val="both"/>
        <w:rPr>
          <w:rFonts w:ascii="Verdana" w:eastAsia="Times New Roman" w:hAnsi="Verdana"/>
          <w:sz w:val="18"/>
          <w:szCs w:val="18"/>
        </w:rPr>
      </w:pPr>
    </w:p>
    <w:p w:rsidR="007923EA" w:rsidRDefault="007923EA" w:rsidP="007923EA">
      <w:pPr>
        <w:overflowPunct w:val="0"/>
        <w:autoSpaceDE w:val="0"/>
        <w:autoSpaceDN w:val="0"/>
        <w:adjustRightInd w:val="0"/>
        <w:spacing w:before="240"/>
        <w:jc w:val="both"/>
        <w:rPr>
          <w:rFonts w:ascii="Verdana" w:eastAsia="Times New Roman" w:hAnsi="Verdana"/>
          <w:sz w:val="18"/>
          <w:szCs w:val="18"/>
        </w:rPr>
      </w:pPr>
    </w:p>
    <w:p w:rsidR="007923EA" w:rsidRDefault="007923EA" w:rsidP="007923EA">
      <w:pPr>
        <w:overflowPunct w:val="0"/>
        <w:autoSpaceDE w:val="0"/>
        <w:autoSpaceDN w:val="0"/>
        <w:adjustRightInd w:val="0"/>
        <w:spacing w:before="240"/>
        <w:jc w:val="both"/>
        <w:rPr>
          <w:rFonts w:ascii="Verdana" w:eastAsia="Times New Roman" w:hAnsi="Verdana"/>
          <w:sz w:val="18"/>
          <w:szCs w:val="18"/>
        </w:rPr>
      </w:pPr>
    </w:p>
    <w:p w:rsidR="007923EA" w:rsidRDefault="007923EA" w:rsidP="007923EA">
      <w:pPr>
        <w:overflowPunct w:val="0"/>
        <w:autoSpaceDE w:val="0"/>
        <w:autoSpaceDN w:val="0"/>
        <w:adjustRightInd w:val="0"/>
        <w:spacing w:before="240"/>
        <w:jc w:val="both"/>
        <w:rPr>
          <w:rFonts w:ascii="Verdana" w:eastAsia="Times New Roman" w:hAnsi="Verdana"/>
          <w:sz w:val="18"/>
          <w:szCs w:val="18"/>
        </w:rPr>
      </w:pPr>
      <w:r>
        <w:rPr>
          <w:rFonts w:ascii="Verdana" w:eastAsia="Times New Roman" w:hAnsi="Verdana"/>
          <w:sz w:val="18"/>
          <w:szCs w:val="18"/>
        </w:rPr>
        <w:lastRenderedPageBreak/>
        <w:t xml:space="preserve">CASES CITED IN JUDGMENT:-  </w:t>
      </w:r>
    </w:p>
    <w:p w:rsidR="007923EA" w:rsidRDefault="007923EA" w:rsidP="007923EA">
      <w:pPr>
        <w:overflowPunct w:val="0"/>
        <w:autoSpaceDE w:val="0"/>
        <w:autoSpaceDN w:val="0"/>
        <w:adjustRightInd w:val="0"/>
        <w:spacing w:before="240"/>
        <w:jc w:val="both"/>
        <w:rPr>
          <w:rFonts w:ascii="Verdana" w:eastAsia="Times New Roman" w:hAnsi="Verdana"/>
          <w:sz w:val="18"/>
          <w:szCs w:val="18"/>
        </w:rPr>
      </w:pPr>
      <w:proofErr w:type="spellStart"/>
      <w:proofErr w:type="gramStart"/>
      <w:r w:rsidRPr="0026688C">
        <w:rPr>
          <w:rFonts w:ascii="Verdana" w:eastAsia="Times New Roman" w:hAnsi="Verdana"/>
          <w:sz w:val="18"/>
          <w:szCs w:val="18"/>
        </w:rPr>
        <w:t>Oladimeji</w:t>
      </w:r>
      <w:proofErr w:type="spellEnd"/>
      <w:r w:rsidRPr="0026688C">
        <w:rPr>
          <w:rFonts w:ascii="Verdana" w:eastAsia="Times New Roman" w:hAnsi="Verdana"/>
          <w:sz w:val="18"/>
          <w:szCs w:val="18"/>
        </w:rPr>
        <w:t xml:space="preserve"> v.</w:t>
      </w:r>
      <w:proofErr w:type="gramEnd"/>
      <w:r w:rsidRPr="0026688C">
        <w:rPr>
          <w:rFonts w:ascii="Verdana" w:eastAsia="Times New Roman" w:hAnsi="Verdana"/>
          <w:sz w:val="18"/>
          <w:szCs w:val="18"/>
        </w:rPr>
        <w:t xml:space="preserve"> The Queen (1964) N.M.L.R. 31</w:t>
      </w:r>
    </w:p>
    <w:p w:rsidR="0001776E" w:rsidRDefault="0001776E" w:rsidP="007923EA">
      <w:pPr>
        <w:spacing w:before="240"/>
      </w:pPr>
    </w:p>
    <w:sectPr w:rsidR="0001776E" w:rsidSect="00125B13">
      <w:pgSz w:w="16839" w:h="11907" w:orient="landscape"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2FCB" w:rsidRDefault="00F82FCB" w:rsidP="0044509F">
      <w:pPr>
        <w:spacing w:after="0" w:line="240" w:lineRule="auto"/>
      </w:pPr>
      <w:r>
        <w:separator/>
      </w:r>
    </w:p>
  </w:endnote>
  <w:endnote w:type="continuationSeparator" w:id="0">
    <w:p w:rsidR="00F82FCB" w:rsidRDefault="00F82FCB" w:rsidP="004450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2FCB" w:rsidRDefault="00F82FCB" w:rsidP="0044509F">
      <w:pPr>
        <w:spacing w:after="0" w:line="240" w:lineRule="auto"/>
      </w:pPr>
      <w:r>
        <w:separator/>
      </w:r>
    </w:p>
  </w:footnote>
  <w:footnote w:type="continuationSeparator" w:id="0">
    <w:p w:rsidR="00F82FCB" w:rsidRDefault="00F82FCB" w:rsidP="0044509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44BAF"/>
    <w:rsid w:val="0001776E"/>
    <w:rsid w:val="00036FB7"/>
    <w:rsid w:val="000F3DF5"/>
    <w:rsid w:val="00125B13"/>
    <w:rsid w:val="001D275D"/>
    <w:rsid w:val="001E7B23"/>
    <w:rsid w:val="0026688C"/>
    <w:rsid w:val="0044509F"/>
    <w:rsid w:val="004923BF"/>
    <w:rsid w:val="004E2B7C"/>
    <w:rsid w:val="004F6E25"/>
    <w:rsid w:val="005207FE"/>
    <w:rsid w:val="005412C3"/>
    <w:rsid w:val="00547C68"/>
    <w:rsid w:val="00607A83"/>
    <w:rsid w:val="006B19E1"/>
    <w:rsid w:val="007046D1"/>
    <w:rsid w:val="00706DAF"/>
    <w:rsid w:val="007923EA"/>
    <w:rsid w:val="00793E67"/>
    <w:rsid w:val="007D6B17"/>
    <w:rsid w:val="008C05A1"/>
    <w:rsid w:val="009C0D9C"/>
    <w:rsid w:val="00A07E16"/>
    <w:rsid w:val="00A1135C"/>
    <w:rsid w:val="00A51765"/>
    <w:rsid w:val="00A95EF3"/>
    <w:rsid w:val="00AA55F7"/>
    <w:rsid w:val="00AC3C91"/>
    <w:rsid w:val="00AD7151"/>
    <w:rsid w:val="00AF3075"/>
    <w:rsid w:val="00B51C3B"/>
    <w:rsid w:val="00BE6495"/>
    <w:rsid w:val="00BF6A07"/>
    <w:rsid w:val="00C219EA"/>
    <w:rsid w:val="00C44BAF"/>
    <w:rsid w:val="00C8160F"/>
    <w:rsid w:val="00C946F1"/>
    <w:rsid w:val="00CA1187"/>
    <w:rsid w:val="00CA6D20"/>
    <w:rsid w:val="00CC469A"/>
    <w:rsid w:val="00CE6D37"/>
    <w:rsid w:val="00CF45A5"/>
    <w:rsid w:val="00D9293F"/>
    <w:rsid w:val="00E83930"/>
    <w:rsid w:val="00F73544"/>
    <w:rsid w:val="00F82FCB"/>
    <w:rsid w:val="00FF36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BA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4BAF"/>
    <w:pPr>
      <w:tabs>
        <w:tab w:val="center" w:pos="4513"/>
        <w:tab w:val="right" w:pos="9026"/>
      </w:tabs>
    </w:pPr>
  </w:style>
  <w:style w:type="character" w:customStyle="1" w:styleId="HeaderChar">
    <w:name w:val="Header Char"/>
    <w:basedOn w:val="DefaultParagraphFont"/>
    <w:link w:val="Header"/>
    <w:uiPriority w:val="99"/>
    <w:rsid w:val="00C44BAF"/>
    <w:rPr>
      <w:rFonts w:ascii="Calibri" w:eastAsia="Calibri" w:hAnsi="Calibri" w:cs="Times New Roman"/>
    </w:rPr>
  </w:style>
  <w:style w:type="paragraph" w:styleId="BalloonText">
    <w:name w:val="Balloon Text"/>
    <w:basedOn w:val="Normal"/>
    <w:link w:val="BalloonTextChar"/>
    <w:uiPriority w:val="99"/>
    <w:semiHidden/>
    <w:unhideWhenUsed/>
    <w:rsid w:val="00C44B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BAF"/>
    <w:rPr>
      <w:rFonts w:ascii="Tahoma" w:eastAsia="Calibri" w:hAnsi="Tahoma" w:cs="Tahoma"/>
      <w:sz w:val="16"/>
      <w:szCs w:val="16"/>
    </w:rPr>
  </w:style>
  <w:style w:type="paragraph" w:styleId="Footer">
    <w:name w:val="footer"/>
    <w:basedOn w:val="Normal"/>
    <w:link w:val="FooterChar"/>
    <w:uiPriority w:val="99"/>
    <w:semiHidden/>
    <w:unhideWhenUsed/>
    <w:rsid w:val="00A07E1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07E16"/>
    <w:rPr>
      <w:rFonts w:ascii="Calibri" w:eastAsia="Calibri" w:hAnsi="Calibri" w:cs="Times New Roman"/>
    </w:rPr>
  </w:style>
  <w:style w:type="table" w:styleId="TableGrid">
    <w:name w:val="Table Grid"/>
    <w:basedOn w:val="TableNormal"/>
    <w:uiPriority w:val="59"/>
    <w:rsid w:val="00CC469A"/>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6</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dc:creator>
  <cp:lastModifiedBy>Windows User</cp:lastModifiedBy>
  <cp:revision>14</cp:revision>
  <dcterms:created xsi:type="dcterms:W3CDTF">2015-11-22T21:01:00Z</dcterms:created>
  <dcterms:modified xsi:type="dcterms:W3CDTF">2021-06-24T15:30:00Z</dcterms:modified>
</cp:coreProperties>
</file>