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7241" w:rsidRDefault="002A439B" w:rsidP="00C66C4F">
      <w:pPr>
        <w:pStyle w:val="t2italics"/>
        <w:spacing w:before="240" w:beforeAutospacing="0" w:after="0" w:afterAutospacing="0" w:line="276" w:lineRule="auto"/>
        <w:jc w:val="center"/>
        <w:rPr>
          <w:sz w:val="28"/>
          <w:szCs w:val="28"/>
        </w:rPr>
      </w:pPr>
      <w:bookmarkStart w:id="0" w:name="_Toc153536856"/>
      <w:r w:rsidRPr="002909E3">
        <w:rPr>
          <w:rFonts w:ascii="Verdana" w:hAnsi="Verdana"/>
          <w:b/>
          <w:bCs/>
          <w:sz w:val="28"/>
          <w:szCs w:val="28"/>
        </w:rPr>
        <w:t>USENI LAMU</w:t>
      </w:r>
    </w:p>
    <w:p w:rsidR="00397241" w:rsidRDefault="002A439B" w:rsidP="008D10DB">
      <w:pPr>
        <w:pStyle w:val="t2italics"/>
        <w:spacing w:before="240" w:beforeAutospacing="0" w:after="0" w:afterAutospacing="0" w:line="276" w:lineRule="auto"/>
        <w:jc w:val="center"/>
        <w:rPr>
          <w:sz w:val="28"/>
          <w:szCs w:val="28"/>
        </w:rPr>
      </w:pPr>
      <w:r w:rsidRPr="002909E3">
        <w:rPr>
          <w:rFonts w:ascii="Verdana" w:hAnsi="Verdana"/>
          <w:b/>
          <w:bCs/>
          <w:sz w:val="28"/>
          <w:szCs w:val="28"/>
        </w:rPr>
        <w:t>V.</w:t>
      </w:r>
      <w:r w:rsidRPr="002909E3">
        <w:rPr>
          <w:sz w:val="28"/>
          <w:szCs w:val="28"/>
        </w:rPr>
        <w:t xml:space="preserve"> </w:t>
      </w:r>
    </w:p>
    <w:p w:rsidR="008D10DB" w:rsidRDefault="002A439B" w:rsidP="008D10DB">
      <w:pPr>
        <w:pStyle w:val="t1cntr"/>
        <w:spacing w:before="240" w:beforeAutospacing="0" w:line="276" w:lineRule="auto"/>
        <w:jc w:val="center"/>
        <w:rPr>
          <w:rFonts w:ascii="Verdana" w:hAnsi="Verdana"/>
          <w:b/>
          <w:bCs/>
          <w:sz w:val="28"/>
          <w:szCs w:val="28"/>
        </w:rPr>
      </w:pPr>
      <w:r w:rsidRPr="002909E3">
        <w:rPr>
          <w:rFonts w:ascii="Verdana" w:hAnsi="Verdana"/>
          <w:b/>
          <w:bCs/>
          <w:sz w:val="28"/>
          <w:szCs w:val="28"/>
        </w:rPr>
        <w:t>THE STATE</w:t>
      </w:r>
      <w:bookmarkEnd w:id="0"/>
    </w:p>
    <w:p w:rsidR="00264671" w:rsidRPr="008D10DB" w:rsidRDefault="00264671" w:rsidP="008D10DB">
      <w:pPr>
        <w:pStyle w:val="t1cntr"/>
        <w:spacing w:before="240" w:beforeAutospacing="0" w:line="276" w:lineRule="auto"/>
        <w:jc w:val="center"/>
        <w:rPr>
          <w:sz w:val="22"/>
          <w:szCs w:val="22"/>
        </w:rPr>
      </w:pPr>
      <w:r w:rsidRPr="008D10DB">
        <w:rPr>
          <w:rFonts w:ascii="Verdana" w:hAnsi="Verdana"/>
          <w:bCs/>
          <w:sz w:val="22"/>
          <w:szCs w:val="22"/>
        </w:rPr>
        <w:t xml:space="preserve">SUPREME COURT OF NIGERIA </w:t>
      </w:r>
    </w:p>
    <w:p w:rsidR="00264671" w:rsidRPr="008D10DB" w:rsidRDefault="00264671" w:rsidP="008D10DB">
      <w:pPr>
        <w:pStyle w:val="t1cntr"/>
        <w:spacing w:before="240" w:beforeAutospacing="0" w:line="276" w:lineRule="auto"/>
        <w:jc w:val="center"/>
        <w:rPr>
          <w:sz w:val="22"/>
          <w:szCs w:val="22"/>
        </w:rPr>
      </w:pPr>
      <w:r w:rsidRPr="008D10DB">
        <w:rPr>
          <w:rFonts w:ascii="Verdana" w:hAnsi="Verdana"/>
          <w:bCs/>
          <w:sz w:val="22"/>
          <w:szCs w:val="22"/>
        </w:rPr>
        <w:t>17TH MARCH, 1967</w:t>
      </w:r>
      <w:bookmarkStart w:id="1" w:name="_Toc153536860"/>
    </w:p>
    <w:p w:rsidR="00264671" w:rsidRDefault="00264671" w:rsidP="008D10DB">
      <w:pPr>
        <w:pStyle w:val="t1cntr"/>
        <w:spacing w:before="240" w:beforeAutospacing="0" w:line="276" w:lineRule="auto"/>
        <w:jc w:val="center"/>
        <w:rPr>
          <w:rFonts w:ascii="Verdana" w:hAnsi="Verdana"/>
          <w:bCs/>
          <w:sz w:val="22"/>
          <w:szCs w:val="22"/>
        </w:rPr>
      </w:pPr>
      <w:r w:rsidRPr="008D10DB">
        <w:rPr>
          <w:rFonts w:ascii="Verdana" w:hAnsi="Verdana"/>
          <w:bCs/>
          <w:sz w:val="22"/>
          <w:szCs w:val="22"/>
        </w:rPr>
        <w:t>SUIT NO. SC 748/1966</w:t>
      </w:r>
      <w:bookmarkEnd w:id="1"/>
    </w:p>
    <w:p w:rsidR="009C15F9" w:rsidRDefault="009C15F9" w:rsidP="008D10DB">
      <w:pPr>
        <w:pStyle w:val="t1cntr"/>
        <w:spacing w:before="240" w:beforeAutospacing="0" w:line="276" w:lineRule="auto"/>
        <w:jc w:val="center"/>
        <w:rPr>
          <w:rFonts w:ascii="Verdana" w:hAnsi="Verdana"/>
          <w:b/>
          <w:bCs/>
          <w:sz w:val="22"/>
          <w:szCs w:val="22"/>
        </w:rPr>
      </w:pPr>
      <w:r>
        <w:rPr>
          <w:rFonts w:ascii="Verdana" w:hAnsi="Verdana"/>
          <w:b/>
          <w:bCs/>
          <w:sz w:val="22"/>
          <w:szCs w:val="22"/>
        </w:rPr>
        <w:t xml:space="preserve">LEX (1967) - </w:t>
      </w:r>
      <w:r w:rsidRPr="009C15F9">
        <w:rPr>
          <w:rFonts w:ascii="Verdana" w:hAnsi="Verdana"/>
          <w:b/>
          <w:bCs/>
          <w:sz w:val="22"/>
          <w:szCs w:val="22"/>
        </w:rPr>
        <w:t>SC 748/1966</w:t>
      </w:r>
    </w:p>
    <w:p w:rsidR="009C15F9" w:rsidRPr="009C15F9" w:rsidRDefault="009C15F9" w:rsidP="008D10DB">
      <w:pPr>
        <w:pStyle w:val="t1cntr"/>
        <w:spacing w:before="240" w:beforeAutospacing="0" w:line="276" w:lineRule="auto"/>
        <w:jc w:val="center"/>
        <w:rPr>
          <w:rFonts w:ascii="Verdana" w:hAnsi="Verdana"/>
          <w:b/>
          <w:bCs/>
          <w:sz w:val="22"/>
          <w:szCs w:val="22"/>
        </w:rPr>
      </w:pPr>
    </w:p>
    <w:p w:rsidR="00F1406F" w:rsidRDefault="00F1406F" w:rsidP="009C15F9">
      <w:pPr>
        <w:autoSpaceDE w:val="0"/>
        <w:autoSpaceDN w:val="0"/>
        <w:spacing w:before="240" w:after="0"/>
        <w:rPr>
          <w:rFonts w:ascii="Verdana" w:hAnsi="Verdana"/>
          <w:sz w:val="20"/>
          <w:szCs w:val="20"/>
        </w:rPr>
      </w:pPr>
      <w:bookmarkStart w:id="2" w:name="_Toc153536857"/>
    </w:p>
    <w:p w:rsidR="009C15F9" w:rsidRDefault="00F1406F" w:rsidP="009C15F9">
      <w:pPr>
        <w:autoSpaceDE w:val="0"/>
        <w:autoSpaceDN w:val="0"/>
        <w:spacing w:after="0"/>
        <w:jc w:val="right"/>
        <w:rPr>
          <w:rFonts w:ascii="Verdana" w:hAnsi="Verdana"/>
          <w:b/>
          <w:sz w:val="18"/>
          <w:szCs w:val="20"/>
        </w:rPr>
      </w:pPr>
      <w:r w:rsidRPr="00F1406F">
        <w:rPr>
          <w:rFonts w:ascii="Verdana" w:hAnsi="Verdana"/>
          <w:b/>
          <w:sz w:val="18"/>
          <w:szCs w:val="20"/>
        </w:rPr>
        <w:t>OTHER CITATIONS</w:t>
      </w:r>
    </w:p>
    <w:p w:rsidR="009C15F9" w:rsidRPr="008D10DB" w:rsidRDefault="009C15F9" w:rsidP="009C15F9">
      <w:pPr>
        <w:autoSpaceDE w:val="0"/>
        <w:autoSpaceDN w:val="0"/>
        <w:spacing w:after="0"/>
        <w:jc w:val="right"/>
      </w:pPr>
      <w:r>
        <w:rPr>
          <w:rFonts w:ascii="Verdana" w:hAnsi="Verdana"/>
          <w:sz w:val="18"/>
          <w:szCs w:val="20"/>
        </w:rPr>
        <w:t>3P</w:t>
      </w:r>
      <w:r w:rsidRPr="00F1406F">
        <w:rPr>
          <w:rFonts w:ascii="Verdana" w:hAnsi="Verdana"/>
          <w:sz w:val="18"/>
          <w:szCs w:val="20"/>
        </w:rPr>
        <w:t>LR/1967/</w:t>
      </w:r>
      <w:proofErr w:type="gramStart"/>
      <w:r w:rsidRPr="00F1406F">
        <w:rPr>
          <w:rFonts w:ascii="Verdana" w:hAnsi="Verdana"/>
          <w:sz w:val="18"/>
          <w:szCs w:val="20"/>
        </w:rPr>
        <w:t>42  (</w:t>
      </w:r>
      <w:proofErr w:type="gramEnd"/>
      <w:r w:rsidRPr="00F1406F">
        <w:rPr>
          <w:rFonts w:ascii="Verdana" w:hAnsi="Verdana"/>
          <w:sz w:val="18"/>
          <w:szCs w:val="20"/>
        </w:rPr>
        <w:t>SC)</w:t>
      </w:r>
    </w:p>
    <w:p w:rsidR="00120EC4" w:rsidRPr="00120EC4" w:rsidRDefault="00120EC4" w:rsidP="00120EC4">
      <w:pPr>
        <w:autoSpaceDE w:val="0"/>
        <w:autoSpaceDN w:val="0"/>
        <w:spacing w:after="0"/>
        <w:jc w:val="right"/>
        <w:rPr>
          <w:rFonts w:ascii="Verdana" w:hAnsi="Verdana"/>
          <w:b/>
          <w:sz w:val="18"/>
          <w:szCs w:val="20"/>
        </w:rPr>
      </w:pPr>
    </w:p>
    <w:p w:rsidR="00264671" w:rsidRPr="00CF658A" w:rsidRDefault="00264671" w:rsidP="008D10DB">
      <w:pPr>
        <w:autoSpaceDE w:val="0"/>
        <w:autoSpaceDN w:val="0"/>
        <w:spacing w:before="240" w:after="0"/>
        <w:rPr>
          <w:rFonts w:ascii="Verdana" w:eastAsia="Times New Roman" w:hAnsi="Verdana"/>
          <w:b/>
          <w:bCs/>
        </w:rPr>
      </w:pPr>
      <w:r w:rsidRPr="00CF658A">
        <w:rPr>
          <w:rFonts w:ascii="Verdana" w:eastAsia="HiraMinPro-W3" w:hAnsi="Verdana"/>
          <w:b/>
        </w:rPr>
        <w:t>BEFORE THEIR LORDSHIPS:</w:t>
      </w:r>
      <w:r w:rsidRPr="00CF658A">
        <w:rPr>
          <w:rFonts w:ascii="Verdana" w:eastAsia="HiraMinPro-W3" w:hAnsi="Verdana"/>
          <w:b/>
          <w:bCs/>
        </w:rPr>
        <w:t xml:space="preserve">  </w:t>
      </w:r>
      <w:r w:rsidRPr="00CF658A">
        <w:rPr>
          <w:rFonts w:ascii="Verdana" w:hAnsi="Verdana"/>
          <w:b/>
          <w:bCs/>
        </w:rPr>
        <w:t xml:space="preserve">  </w:t>
      </w:r>
    </w:p>
    <w:p w:rsidR="00264671" w:rsidRPr="00CF658A" w:rsidRDefault="009C15F9" w:rsidP="008D10DB">
      <w:pPr>
        <w:pStyle w:val="t1cntr"/>
        <w:spacing w:before="240" w:beforeAutospacing="0" w:line="276" w:lineRule="auto"/>
        <w:rPr>
          <w:sz w:val="22"/>
          <w:szCs w:val="22"/>
        </w:rPr>
      </w:pPr>
      <w:r w:rsidRPr="00CF658A">
        <w:rPr>
          <w:rFonts w:ascii="Verdana" w:hAnsi="Verdana"/>
          <w:bCs/>
          <w:sz w:val="22"/>
          <w:szCs w:val="22"/>
        </w:rPr>
        <w:t xml:space="preserve">LIONEL </w:t>
      </w:r>
      <w:r w:rsidR="00264671" w:rsidRPr="00CF658A">
        <w:rPr>
          <w:rFonts w:ascii="Verdana" w:hAnsi="Verdana"/>
          <w:bCs/>
          <w:sz w:val="22"/>
          <w:szCs w:val="22"/>
        </w:rPr>
        <w:t>BRETT, J.S.C.</w:t>
      </w:r>
      <w:bookmarkEnd w:id="2"/>
      <w:r w:rsidR="00264671" w:rsidRPr="00CF658A">
        <w:rPr>
          <w:rFonts w:ascii="Verdana" w:hAnsi="Verdana"/>
          <w:bCs/>
          <w:sz w:val="22"/>
          <w:szCs w:val="22"/>
        </w:rPr>
        <w:t xml:space="preserve"> </w:t>
      </w:r>
    </w:p>
    <w:p w:rsidR="00264671" w:rsidRPr="00CF658A" w:rsidRDefault="009C15F9" w:rsidP="008D10DB">
      <w:pPr>
        <w:pStyle w:val="t1cntr"/>
        <w:spacing w:before="240" w:beforeAutospacing="0" w:line="276" w:lineRule="auto"/>
        <w:rPr>
          <w:sz w:val="22"/>
          <w:szCs w:val="22"/>
        </w:rPr>
      </w:pPr>
      <w:r w:rsidRPr="00CF658A">
        <w:rPr>
          <w:rFonts w:ascii="Verdana" w:hAnsi="Verdana"/>
          <w:bCs/>
          <w:sz w:val="22"/>
          <w:szCs w:val="22"/>
        </w:rPr>
        <w:t xml:space="preserve">MICHAEL OGUEJIOFO </w:t>
      </w:r>
      <w:r w:rsidR="00264671" w:rsidRPr="00CF658A">
        <w:rPr>
          <w:rFonts w:ascii="Verdana" w:hAnsi="Verdana"/>
          <w:bCs/>
          <w:sz w:val="22"/>
          <w:szCs w:val="22"/>
        </w:rPr>
        <w:t>AJEGBO, J.S.C.</w:t>
      </w:r>
    </w:p>
    <w:p w:rsidR="00264671" w:rsidRPr="00CF658A" w:rsidRDefault="009C15F9" w:rsidP="008D10DB">
      <w:pPr>
        <w:pStyle w:val="t1cntr"/>
        <w:spacing w:before="240" w:beforeAutospacing="0" w:line="276" w:lineRule="auto"/>
        <w:rPr>
          <w:rFonts w:ascii="Verdana" w:hAnsi="Verdana"/>
          <w:bCs/>
          <w:sz w:val="22"/>
          <w:szCs w:val="22"/>
        </w:rPr>
      </w:pPr>
      <w:r w:rsidRPr="00CF658A">
        <w:rPr>
          <w:rFonts w:ascii="Verdana" w:hAnsi="Verdana"/>
          <w:bCs/>
          <w:sz w:val="22"/>
          <w:szCs w:val="22"/>
        </w:rPr>
        <w:t xml:space="preserve">IAN </w:t>
      </w:r>
      <w:r w:rsidR="00264671" w:rsidRPr="00CF658A">
        <w:rPr>
          <w:rFonts w:ascii="Verdana" w:hAnsi="Verdana"/>
          <w:bCs/>
          <w:sz w:val="22"/>
          <w:szCs w:val="22"/>
        </w:rPr>
        <w:t>LEWIS, J.S.C.</w:t>
      </w:r>
    </w:p>
    <w:p w:rsidR="00CF658A" w:rsidRPr="00CF658A" w:rsidRDefault="00CF658A" w:rsidP="008D10DB">
      <w:pPr>
        <w:pStyle w:val="t1cntr"/>
        <w:spacing w:before="240" w:beforeAutospacing="0" w:line="276" w:lineRule="auto"/>
        <w:rPr>
          <w:rFonts w:ascii="Verdana" w:hAnsi="Verdana"/>
          <w:b/>
          <w:bCs/>
          <w:sz w:val="22"/>
          <w:szCs w:val="22"/>
        </w:rPr>
      </w:pPr>
    </w:p>
    <w:p w:rsidR="00CF658A" w:rsidRDefault="00CF658A" w:rsidP="008D10DB">
      <w:pPr>
        <w:pStyle w:val="t1cntr"/>
        <w:spacing w:before="240" w:beforeAutospacing="0" w:line="276" w:lineRule="auto"/>
        <w:rPr>
          <w:rFonts w:ascii="Verdana" w:hAnsi="Verdana"/>
          <w:b/>
          <w:bCs/>
          <w:sz w:val="22"/>
          <w:szCs w:val="22"/>
        </w:rPr>
      </w:pPr>
      <w:r>
        <w:rPr>
          <w:rFonts w:ascii="Verdana" w:hAnsi="Verdana"/>
          <w:b/>
          <w:bCs/>
          <w:sz w:val="22"/>
          <w:szCs w:val="22"/>
        </w:rPr>
        <w:lastRenderedPageBreak/>
        <w:t>ORIGINATING COURT</w:t>
      </w:r>
    </w:p>
    <w:p w:rsidR="00CF658A" w:rsidRPr="00CF658A" w:rsidRDefault="00CF658A" w:rsidP="008D10DB">
      <w:pPr>
        <w:pStyle w:val="t1cntr"/>
        <w:spacing w:before="240" w:beforeAutospacing="0" w:line="276" w:lineRule="auto"/>
        <w:rPr>
          <w:rFonts w:ascii="Verdana" w:hAnsi="Verdana"/>
          <w:bCs/>
          <w:sz w:val="22"/>
          <w:szCs w:val="22"/>
        </w:rPr>
      </w:pPr>
      <w:r>
        <w:rPr>
          <w:rFonts w:ascii="Verdana" w:hAnsi="Verdana"/>
          <w:bCs/>
          <w:sz w:val="22"/>
          <w:szCs w:val="22"/>
        </w:rPr>
        <w:t>HIGH COURT OF NORTHERN REGION OF NIGERIA (</w:t>
      </w:r>
      <w:r w:rsidRPr="00C73C50">
        <w:rPr>
          <w:rFonts w:ascii="Verdana" w:hAnsi="Verdana"/>
          <w:sz w:val="22"/>
          <w:szCs w:val="22"/>
        </w:rPr>
        <w:t>Jones, J.</w:t>
      </w:r>
      <w:r>
        <w:rPr>
          <w:rFonts w:ascii="Verdana" w:hAnsi="Verdana"/>
          <w:sz w:val="22"/>
          <w:szCs w:val="22"/>
        </w:rPr>
        <w:t>., Presiding)</w:t>
      </w:r>
    </w:p>
    <w:p w:rsidR="00CF658A" w:rsidRDefault="00CF658A" w:rsidP="008D10DB">
      <w:pPr>
        <w:pStyle w:val="t1cntr"/>
        <w:spacing w:before="240" w:beforeAutospacing="0" w:line="276" w:lineRule="auto"/>
        <w:rPr>
          <w:rFonts w:ascii="Verdana" w:hAnsi="Verdana"/>
          <w:b/>
          <w:bCs/>
          <w:sz w:val="22"/>
          <w:szCs w:val="22"/>
        </w:rPr>
      </w:pPr>
    </w:p>
    <w:p w:rsidR="00264671" w:rsidRPr="00CF658A" w:rsidRDefault="00264671" w:rsidP="008D10DB">
      <w:pPr>
        <w:pStyle w:val="t1cntr"/>
        <w:spacing w:before="240" w:beforeAutospacing="0" w:line="276" w:lineRule="auto"/>
        <w:rPr>
          <w:rFonts w:ascii="Verdana" w:hAnsi="Verdana"/>
          <w:b/>
          <w:bCs/>
          <w:sz w:val="22"/>
          <w:szCs w:val="22"/>
        </w:rPr>
      </w:pPr>
      <w:r w:rsidRPr="00CF658A">
        <w:rPr>
          <w:rFonts w:ascii="Verdana" w:hAnsi="Verdana"/>
          <w:b/>
          <w:bCs/>
          <w:sz w:val="22"/>
          <w:szCs w:val="22"/>
        </w:rPr>
        <w:t>REPRESENTATION</w:t>
      </w:r>
    </w:p>
    <w:p w:rsidR="00264671" w:rsidRPr="00CF658A" w:rsidRDefault="00264671" w:rsidP="008D10DB">
      <w:pPr>
        <w:pStyle w:val="body2indt"/>
        <w:spacing w:before="240" w:beforeAutospacing="0" w:line="276" w:lineRule="auto"/>
        <w:rPr>
          <w:sz w:val="22"/>
          <w:szCs w:val="22"/>
        </w:rPr>
      </w:pPr>
      <w:r w:rsidRPr="00CF658A">
        <w:rPr>
          <w:rFonts w:ascii="Verdana" w:hAnsi="Verdana"/>
          <w:sz w:val="22"/>
          <w:szCs w:val="22"/>
        </w:rPr>
        <w:t xml:space="preserve">J. A. </w:t>
      </w:r>
      <w:r w:rsidR="008D10DB" w:rsidRPr="00CF658A">
        <w:rPr>
          <w:rFonts w:ascii="Verdana" w:hAnsi="Verdana"/>
          <w:sz w:val="22"/>
          <w:szCs w:val="22"/>
        </w:rPr>
        <w:t xml:space="preserve">COLE </w:t>
      </w:r>
      <w:r w:rsidRPr="00CF658A">
        <w:rPr>
          <w:rFonts w:ascii="Verdana" w:hAnsi="Verdana"/>
          <w:sz w:val="22"/>
          <w:szCs w:val="22"/>
        </w:rPr>
        <w:t>- for the Appellant</w:t>
      </w:r>
    </w:p>
    <w:p w:rsidR="00264671" w:rsidRPr="00CF658A" w:rsidRDefault="00264671" w:rsidP="008D10DB">
      <w:pPr>
        <w:pStyle w:val="body2indt"/>
        <w:spacing w:before="240" w:beforeAutospacing="0" w:line="276" w:lineRule="auto"/>
        <w:rPr>
          <w:sz w:val="22"/>
          <w:szCs w:val="22"/>
        </w:rPr>
      </w:pPr>
      <w:r w:rsidRPr="00CF658A">
        <w:rPr>
          <w:rFonts w:ascii="Verdana" w:hAnsi="Verdana"/>
          <w:sz w:val="22"/>
          <w:szCs w:val="22"/>
        </w:rPr>
        <w:t xml:space="preserve">Mallam M. B. </w:t>
      </w:r>
      <w:r w:rsidR="008D10DB" w:rsidRPr="00CF658A">
        <w:rPr>
          <w:rFonts w:ascii="Verdana" w:hAnsi="Verdana"/>
          <w:sz w:val="22"/>
          <w:szCs w:val="22"/>
        </w:rPr>
        <w:t>BELGORE</w:t>
      </w:r>
      <w:r w:rsidRPr="00CF658A">
        <w:rPr>
          <w:rFonts w:ascii="Verdana" w:hAnsi="Verdana"/>
          <w:sz w:val="22"/>
          <w:szCs w:val="22"/>
        </w:rPr>
        <w:t>, D.P.P., North, - for the Respondent</w:t>
      </w:r>
    </w:p>
    <w:p w:rsidR="00264671" w:rsidRPr="00CF658A" w:rsidRDefault="00264671" w:rsidP="008D10DB">
      <w:pPr>
        <w:pStyle w:val="t1cntr"/>
        <w:spacing w:before="240" w:beforeAutospacing="0" w:line="276" w:lineRule="auto"/>
        <w:rPr>
          <w:rFonts w:ascii="Verdana" w:hAnsi="Verdana"/>
          <w:b/>
          <w:bCs/>
          <w:sz w:val="22"/>
          <w:szCs w:val="22"/>
        </w:rPr>
      </w:pPr>
    </w:p>
    <w:p w:rsidR="008D10DB" w:rsidRPr="00CF658A" w:rsidRDefault="008D10DB" w:rsidP="008D10DB">
      <w:pPr>
        <w:pStyle w:val="t1cntr"/>
        <w:spacing w:before="240" w:beforeAutospacing="0" w:line="276" w:lineRule="auto"/>
        <w:rPr>
          <w:rFonts w:ascii="Verdana" w:hAnsi="Verdana"/>
          <w:b/>
          <w:bCs/>
          <w:sz w:val="22"/>
          <w:szCs w:val="22"/>
          <w:lang w:eastAsia="en-GB"/>
        </w:rPr>
      </w:pPr>
      <w:r w:rsidRPr="00CF658A">
        <w:rPr>
          <w:rFonts w:ascii="Verdana" w:hAnsi="Verdana"/>
          <w:b/>
          <w:bCs/>
          <w:sz w:val="22"/>
          <w:szCs w:val="22"/>
          <w:lang w:eastAsia="en-GB"/>
        </w:rPr>
        <w:t xml:space="preserve">CONNECTED AREAS OF PRACTICE </w:t>
      </w:r>
    </w:p>
    <w:p w:rsidR="008D10DB" w:rsidRPr="00CF658A" w:rsidRDefault="008D10DB" w:rsidP="008D10DB">
      <w:pPr>
        <w:pStyle w:val="t1cntr"/>
        <w:spacing w:before="240" w:beforeAutospacing="0" w:line="276" w:lineRule="auto"/>
        <w:rPr>
          <w:rFonts w:ascii="Verdana" w:hAnsi="Verdana"/>
          <w:b/>
          <w:bCs/>
          <w:sz w:val="22"/>
          <w:szCs w:val="22"/>
        </w:rPr>
      </w:pPr>
      <w:r w:rsidRPr="00CF658A">
        <w:rPr>
          <w:rFonts w:ascii="Verdana" w:hAnsi="Verdana"/>
          <w:bCs/>
          <w:sz w:val="22"/>
          <w:szCs w:val="22"/>
          <w:lang w:eastAsia="en-GB"/>
        </w:rPr>
        <w:t>CRIMINAL LAW, CHILDREN AND WOMEN LAW</w:t>
      </w:r>
    </w:p>
    <w:p w:rsidR="008D10DB" w:rsidRPr="00CF658A" w:rsidRDefault="008D10DB" w:rsidP="008D10DB">
      <w:pPr>
        <w:pStyle w:val="t1cntr"/>
        <w:spacing w:before="240" w:beforeAutospacing="0" w:line="276" w:lineRule="auto"/>
        <w:rPr>
          <w:rFonts w:ascii="Verdana" w:hAnsi="Verdana"/>
          <w:b/>
          <w:bCs/>
          <w:sz w:val="22"/>
          <w:szCs w:val="22"/>
        </w:rPr>
      </w:pPr>
    </w:p>
    <w:p w:rsidR="00264671" w:rsidRPr="00CF658A" w:rsidRDefault="00264671" w:rsidP="008D10DB">
      <w:pPr>
        <w:pStyle w:val="t1cntr"/>
        <w:spacing w:before="240" w:beforeAutospacing="0" w:line="276" w:lineRule="auto"/>
        <w:rPr>
          <w:sz w:val="22"/>
          <w:szCs w:val="22"/>
        </w:rPr>
      </w:pPr>
      <w:r w:rsidRPr="00CF658A">
        <w:rPr>
          <w:rFonts w:ascii="Verdana" w:hAnsi="Verdana"/>
          <w:b/>
          <w:bCs/>
          <w:sz w:val="22"/>
          <w:szCs w:val="22"/>
        </w:rPr>
        <w:t>ISSUES</w:t>
      </w:r>
      <w:r w:rsidR="009C15F9" w:rsidRPr="00CF658A">
        <w:rPr>
          <w:rFonts w:ascii="Verdana" w:hAnsi="Verdana"/>
          <w:b/>
          <w:bCs/>
          <w:sz w:val="22"/>
          <w:szCs w:val="22"/>
        </w:rPr>
        <w:t xml:space="preserve"> FROM THE CAUSE(S) OF ACTION </w:t>
      </w:r>
    </w:p>
    <w:p w:rsidR="00C10547" w:rsidRPr="00CF658A" w:rsidRDefault="00C10547" w:rsidP="00C66C4F">
      <w:pPr>
        <w:pStyle w:val="t2italics"/>
        <w:spacing w:before="240" w:beforeAutospacing="0" w:line="276" w:lineRule="auto"/>
        <w:jc w:val="both"/>
        <w:rPr>
          <w:rFonts w:ascii="Verdana" w:hAnsi="Verdana"/>
          <w:iCs/>
          <w:sz w:val="22"/>
          <w:szCs w:val="22"/>
        </w:rPr>
      </w:pPr>
      <w:r w:rsidRPr="00CF658A">
        <w:rPr>
          <w:rFonts w:ascii="Verdana" w:hAnsi="Verdana"/>
          <w:iCs/>
          <w:color w:val="000000"/>
          <w:sz w:val="22"/>
          <w:szCs w:val="22"/>
        </w:rPr>
        <w:t>CRIMINAL LAW AND PROCEDURE</w:t>
      </w:r>
      <w:r w:rsidR="00C66C4F" w:rsidRPr="00CF658A">
        <w:rPr>
          <w:rFonts w:ascii="Verdana" w:hAnsi="Verdana"/>
          <w:iCs/>
          <w:sz w:val="22"/>
          <w:szCs w:val="22"/>
        </w:rPr>
        <w:t>: -</w:t>
      </w:r>
      <w:r w:rsidRPr="00CF658A">
        <w:rPr>
          <w:rFonts w:ascii="Verdana" w:hAnsi="Verdana"/>
          <w:iCs/>
          <w:sz w:val="22"/>
          <w:szCs w:val="22"/>
        </w:rPr>
        <w:t xml:space="preserve"> </w:t>
      </w:r>
      <w:r w:rsidR="00264671" w:rsidRPr="00CF658A">
        <w:rPr>
          <w:rFonts w:ascii="Verdana" w:hAnsi="Verdana"/>
          <w:iCs/>
          <w:sz w:val="22"/>
          <w:szCs w:val="22"/>
        </w:rPr>
        <w:t>Criminal Appeals - Supreme Court - Evidence wrongly admitted</w:t>
      </w:r>
      <w:r w:rsidRPr="00CF658A">
        <w:rPr>
          <w:rFonts w:ascii="Verdana" w:hAnsi="Verdana"/>
          <w:iCs/>
          <w:sz w:val="22"/>
          <w:szCs w:val="22"/>
        </w:rPr>
        <w:t xml:space="preserve"> occasioning</w:t>
      </w:r>
      <w:r w:rsidR="00264671" w:rsidRPr="00CF658A">
        <w:rPr>
          <w:rFonts w:ascii="Verdana" w:hAnsi="Verdana"/>
          <w:iCs/>
          <w:sz w:val="22"/>
          <w:szCs w:val="22"/>
        </w:rPr>
        <w:t xml:space="preserve"> miscarriage of justice  </w:t>
      </w:r>
    </w:p>
    <w:p w:rsidR="008D10DB" w:rsidRPr="00CF658A" w:rsidRDefault="008D10DB" w:rsidP="00C66C4F">
      <w:pPr>
        <w:autoSpaceDE w:val="0"/>
        <w:autoSpaceDN w:val="0"/>
        <w:adjustRightInd w:val="0"/>
        <w:spacing w:before="240" w:after="0"/>
        <w:jc w:val="both"/>
        <w:rPr>
          <w:rFonts w:ascii="Verdana" w:hAnsi="Verdana"/>
          <w:iCs/>
          <w:color w:val="000000"/>
        </w:rPr>
      </w:pPr>
      <w:r w:rsidRPr="00CF658A">
        <w:rPr>
          <w:rFonts w:ascii="Verdana" w:hAnsi="Verdana"/>
          <w:iCs/>
          <w:color w:val="000000"/>
        </w:rPr>
        <w:t>CRIMINAL LAW</w:t>
      </w:r>
      <w:r w:rsidR="00C10547" w:rsidRPr="00CF658A">
        <w:rPr>
          <w:rFonts w:ascii="Verdana" w:hAnsi="Verdana"/>
          <w:iCs/>
          <w:color w:val="000000"/>
        </w:rPr>
        <w:t xml:space="preserve"> AND PROCEDURE</w:t>
      </w:r>
      <w:r w:rsidR="00C66C4F" w:rsidRPr="00CF658A">
        <w:rPr>
          <w:rFonts w:ascii="Verdana" w:hAnsi="Verdana"/>
          <w:iCs/>
          <w:color w:val="000000"/>
        </w:rPr>
        <w:t>: -</w:t>
      </w:r>
      <w:r w:rsidR="00C10547" w:rsidRPr="00CF658A">
        <w:rPr>
          <w:rFonts w:ascii="Verdana" w:hAnsi="Verdana"/>
          <w:iCs/>
          <w:color w:val="000000"/>
        </w:rPr>
        <w:t xml:space="preserve"> M</w:t>
      </w:r>
      <w:r w:rsidRPr="00CF658A">
        <w:rPr>
          <w:rFonts w:ascii="Verdana" w:hAnsi="Verdana"/>
          <w:iCs/>
          <w:color w:val="000000"/>
        </w:rPr>
        <w:t>urder</w:t>
      </w:r>
      <w:r w:rsidR="00C66C4F" w:rsidRPr="00CF658A">
        <w:rPr>
          <w:rFonts w:ascii="Verdana" w:hAnsi="Verdana"/>
          <w:iCs/>
          <w:color w:val="000000"/>
        </w:rPr>
        <w:t xml:space="preserve"> </w:t>
      </w:r>
      <w:r w:rsidRPr="00CF658A">
        <w:rPr>
          <w:rFonts w:ascii="Verdana" w:hAnsi="Verdana"/>
          <w:iCs/>
          <w:color w:val="000000"/>
        </w:rPr>
        <w:t xml:space="preserve">- </w:t>
      </w:r>
      <w:r w:rsidR="00C10547" w:rsidRPr="00CF658A">
        <w:rPr>
          <w:rFonts w:ascii="Verdana" w:hAnsi="Verdana"/>
        </w:rPr>
        <w:t>C</w:t>
      </w:r>
      <w:r w:rsidRPr="00CF658A">
        <w:rPr>
          <w:rFonts w:ascii="Verdana" w:hAnsi="Verdana"/>
        </w:rPr>
        <w:t>ulpable homicide punishable with death</w:t>
      </w:r>
      <w:r w:rsidRPr="00CF658A">
        <w:rPr>
          <w:rFonts w:ascii="Verdana" w:hAnsi="Verdana"/>
          <w:iCs/>
          <w:color w:val="000000"/>
        </w:rPr>
        <w:t xml:space="preserve"> </w:t>
      </w:r>
      <w:r w:rsidR="00C10547" w:rsidRPr="00CF658A">
        <w:rPr>
          <w:rFonts w:ascii="Verdana" w:hAnsi="Verdana"/>
          <w:iCs/>
          <w:color w:val="000000"/>
        </w:rPr>
        <w:t>–</w:t>
      </w:r>
      <w:r w:rsidRPr="00CF658A">
        <w:rPr>
          <w:rFonts w:ascii="Verdana" w:hAnsi="Verdana"/>
          <w:iCs/>
          <w:color w:val="000000"/>
        </w:rPr>
        <w:t xml:space="preserve"> </w:t>
      </w:r>
      <w:r w:rsidR="00C10547" w:rsidRPr="00CF658A">
        <w:rPr>
          <w:rFonts w:ascii="Verdana" w:hAnsi="Verdana"/>
          <w:iCs/>
          <w:color w:val="000000"/>
        </w:rPr>
        <w:t>Duty of prosecution thereto - D</w:t>
      </w:r>
      <w:r w:rsidRPr="00CF658A">
        <w:rPr>
          <w:rFonts w:ascii="Verdana" w:hAnsi="Verdana"/>
          <w:iCs/>
          <w:color w:val="000000"/>
        </w:rPr>
        <w:t>efence of insanity</w:t>
      </w:r>
      <w:r w:rsidR="00C10547" w:rsidRPr="00CF658A">
        <w:rPr>
          <w:rFonts w:ascii="Verdana" w:hAnsi="Verdana"/>
          <w:iCs/>
          <w:color w:val="000000"/>
        </w:rPr>
        <w:t xml:space="preserve"> and memory loss – When considered not proved – How treated </w:t>
      </w:r>
    </w:p>
    <w:p w:rsidR="008D10DB" w:rsidRPr="00CF658A" w:rsidRDefault="00961CD6" w:rsidP="00C66C4F">
      <w:pPr>
        <w:pStyle w:val="body2indt"/>
        <w:spacing w:before="240" w:beforeAutospacing="0" w:after="0" w:afterAutospacing="0" w:line="276" w:lineRule="auto"/>
        <w:jc w:val="both"/>
        <w:rPr>
          <w:rFonts w:ascii="Verdana" w:hAnsi="Verdana"/>
          <w:sz w:val="22"/>
          <w:szCs w:val="22"/>
        </w:rPr>
      </w:pPr>
      <w:r w:rsidRPr="00CF658A">
        <w:rPr>
          <w:rFonts w:ascii="Verdana" w:hAnsi="Verdana"/>
          <w:sz w:val="22"/>
          <w:szCs w:val="22"/>
        </w:rPr>
        <w:t xml:space="preserve">HEALTHCARE AND LAW:- Defence of insanity and memory loss – Accused person subject to fits of some sort of depression and partial amnesia – Access to mental health treatment and implications for crime and justice administration </w:t>
      </w:r>
    </w:p>
    <w:p w:rsidR="009C15F9" w:rsidRPr="00CF658A" w:rsidRDefault="009C15F9" w:rsidP="009C15F9">
      <w:pPr>
        <w:pStyle w:val="body2indt"/>
        <w:spacing w:before="240" w:beforeAutospacing="0" w:after="0" w:afterAutospacing="0" w:line="276" w:lineRule="auto"/>
        <w:jc w:val="both"/>
        <w:rPr>
          <w:rFonts w:ascii="Verdana" w:hAnsi="Verdana"/>
          <w:sz w:val="22"/>
          <w:szCs w:val="22"/>
        </w:rPr>
      </w:pPr>
      <w:r w:rsidRPr="00CF658A">
        <w:rPr>
          <w:rFonts w:ascii="Verdana" w:hAnsi="Verdana"/>
          <w:sz w:val="22"/>
          <w:szCs w:val="22"/>
        </w:rPr>
        <w:lastRenderedPageBreak/>
        <w:t xml:space="preserve">CHILDREN AND WOMEN LAW:- Women and Murder – Husband’s insistence on forceful return of his wife to matrimonial results in killing of wife’s relative in whose house she had sought refuge – Husband hit relative on head with a stick and shot him with an arrow – Acquittal of husband – Relevant considerations </w:t>
      </w:r>
    </w:p>
    <w:p w:rsidR="009C15F9" w:rsidRPr="00CF658A" w:rsidRDefault="009C15F9" w:rsidP="009C15F9">
      <w:pPr>
        <w:pStyle w:val="body2indt"/>
        <w:spacing w:before="240" w:beforeAutospacing="0" w:after="0" w:afterAutospacing="0" w:line="276" w:lineRule="auto"/>
        <w:jc w:val="both"/>
        <w:rPr>
          <w:rFonts w:ascii="Verdana" w:hAnsi="Verdana"/>
          <w:sz w:val="22"/>
          <w:szCs w:val="22"/>
        </w:rPr>
      </w:pPr>
      <w:r w:rsidRPr="00CF658A">
        <w:rPr>
          <w:rFonts w:ascii="Verdana" w:hAnsi="Verdana"/>
          <w:sz w:val="22"/>
          <w:szCs w:val="22"/>
        </w:rPr>
        <w:t xml:space="preserve">CHILDREN AND WOMEN LAW: - Women and Justice </w:t>
      </w:r>
      <w:proofErr w:type="gramStart"/>
      <w:r w:rsidRPr="00CF658A">
        <w:rPr>
          <w:rFonts w:ascii="Verdana" w:hAnsi="Verdana"/>
          <w:sz w:val="22"/>
          <w:szCs w:val="22"/>
        </w:rPr>
        <w:t>administration</w:t>
      </w:r>
      <w:proofErr w:type="gramEnd"/>
      <w:r w:rsidRPr="00CF658A">
        <w:rPr>
          <w:rFonts w:ascii="Verdana" w:hAnsi="Verdana"/>
          <w:sz w:val="22"/>
          <w:szCs w:val="22"/>
        </w:rPr>
        <w:t xml:space="preserve"> – Criminal proceedings - Evidence of spouse – Whether a spouse of a monogamous marriage is a competent witness for the prosecution on any charge not coming within section 160(1) of the Evidence Law – Whether same applies to wife of a polygamous marriage </w:t>
      </w:r>
    </w:p>
    <w:p w:rsidR="009C15F9" w:rsidRPr="00CF658A" w:rsidRDefault="009C15F9" w:rsidP="009C15F9">
      <w:pPr>
        <w:pStyle w:val="body2indt"/>
        <w:spacing w:before="240" w:beforeAutospacing="0" w:after="0" w:afterAutospacing="0" w:line="276" w:lineRule="auto"/>
        <w:jc w:val="both"/>
        <w:rPr>
          <w:rFonts w:ascii="Verdana" w:hAnsi="Verdana"/>
          <w:sz w:val="22"/>
          <w:szCs w:val="22"/>
        </w:rPr>
      </w:pPr>
      <w:r w:rsidRPr="00CF658A">
        <w:rPr>
          <w:rFonts w:ascii="Verdana" w:hAnsi="Verdana"/>
          <w:sz w:val="22"/>
          <w:szCs w:val="22"/>
        </w:rPr>
        <w:t xml:space="preserve">CHILDREN AND WOMEN LAW:- Women, Marriage and Religion - Whether there is a legal presumption of polygamy as the nature of the marriage of a woman who swears her judicial oath using a knife or professes adherence to traditional religion– Whether needs to be proved strictly – Implication for justice administration </w:t>
      </w:r>
    </w:p>
    <w:p w:rsidR="00DA04D5" w:rsidRPr="00CF658A" w:rsidRDefault="00DA04D5" w:rsidP="00DA04D5">
      <w:pPr>
        <w:pStyle w:val="body2indt"/>
        <w:spacing w:before="240" w:beforeAutospacing="0" w:after="0" w:afterAutospacing="0" w:line="276" w:lineRule="auto"/>
        <w:jc w:val="both"/>
        <w:rPr>
          <w:rFonts w:ascii="Verdana" w:hAnsi="Verdana"/>
          <w:sz w:val="22"/>
          <w:szCs w:val="22"/>
        </w:rPr>
      </w:pPr>
      <w:r w:rsidRPr="00CF658A">
        <w:rPr>
          <w:rFonts w:ascii="Verdana" w:hAnsi="Verdana"/>
          <w:sz w:val="22"/>
          <w:szCs w:val="22"/>
        </w:rPr>
        <w:t>RELIGION AND THE LAW:- Evidence of non-Christian wife of accused person – Witness sworn on a knife and professes adherences to traditional religion – Burden of prosecution to prove that the nature of her marriage is non-monogamous – Where prosecution fails to so prove –</w:t>
      </w:r>
      <w:r w:rsidR="00A15C80" w:rsidRPr="00CF658A">
        <w:rPr>
          <w:rFonts w:ascii="Verdana" w:hAnsi="Verdana"/>
          <w:sz w:val="22"/>
          <w:szCs w:val="22"/>
        </w:rPr>
        <w:t xml:space="preserve"> </w:t>
      </w:r>
      <w:r w:rsidRPr="00CF658A">
        <w:rPr>
          <w:rFonts w:ascii="Verdana" w:hAnsi="Verdana"/>
          <w:sz w:val="22"/>
          <w:szCs w:val="22"/>
        </w:rPr>
        <w:t xml:space="preserve">Whether renders her an incompetent witness for the prosecution on any charge not coming within section 160(1) of the Evidence Law – Whether presumption of polygamous marriage can be inferred from act of swearing on a knife or expressing traditional/indigenous religion- Implication for justice administration  </w:t>
      </w:r>
    </w:p>
    <w:p w:rsidR="009C15F9" w:rsidRPr="00CF658A" w:rsidRDefault="009C15F9" w:rsidP="00C66C4F">
      <w:pPr>
        <w:pStyle w:val="body2indt"/>
        <w:spacing w:before="240" w:beforeAutospacing="0" w:line="276" w:lineRule="auto"/>
        <w:jc w:val="both"/>
        <w:rPr>
          <w:rFonts w:ascii="Verdana" w:hAnsi="Verdana"/>
          <w:b/>
          <w:sz w:val="22"/>
          <w:szCs w:val="22"/>
        </w:rPr>
      </w:pPr>
    </w:p>
    <w:p w:rsidR="009C15F9" w:rsidRPr="00CF658A" w:rsidRDefault="00C10547" w:rsidP="00C66C4F">
      <w:pPr>
        <w:pStyle w:val="body2indt"/>
        <w:spacing w:before="240" w:beforeAutospacing="0" w:line="276" w:lineRule="auto"/>
        <w:jc w:val="both"/>
        <w:rPr>
          <w:rFonts w:ascii="Verdana" w:hAnsi="Verdana"/>
          <w:b/>
          <w:sz w:val="22"/>
          <w:szCs w:val="22"/>
        </w:rPr>
      </w:pPr>
      <w:r w:rsidRPr="00CF658A">
        <w:rPr>
          <w:rFonts w:ascii="Verdana" w:hAnsi="Verdana"/>
          <w:b/>
          <w:sz w:val="22"/>
          <w:szCs w:val="22"/>
        </w:rPr>
        <w:t>PRACTICE AND PROCEDURE</w:t>
      </w:r>
      <w:r w:rsidR="009C15F9" w:rsidRPr="00CF658A">
        <w:rPr>
          <w:rFonts w:ascii="Verdana" w:hAnsi="Verdana"/>
          <w:b/>
          <w:sz w:val="22"/>
          <w:szCs w:val="22"/>
        </w:rPr>
        <w:t xml:space="preserve"> ISSUES</w:t>
      </w:r>
    </w:p>
    <w:p w:rsidR="00C10547" w:rsidRPr="00CF658A" w:rsidRDefault="00C10547" w:rsidP="00C66C4F">
      <w:pPr>
        <w:pStyle w:val="body2indt"/>
        <w:spacing w:before="240" w:beforeAutospacing="0" w:line="276" w:lineRule="auto"/>
        <w:jc w:val="both"/>
        <w:rPr>
          <w:rFonts w:ascii="Verdana" w:hAnsi="Verdana"/>
          <w:sz w:val="22"/>
          <w:szCs w:val="22"/>
        </w:rPr>
      </w:pPr>
      <w:r w:rsidRPr="00CF658A">
        <w:rPr>
          <w:rFonts w:ascii="Verdana" w:hAnsi="Verdana"/>
          <w:sz w:val="22"/>
          <w:szCs w:val="22"/>
        </w:rPr>
        <w:t>EVIDENCE</w:t>
      </w:r>
      <w:proofErr w:type="gramStart"/>
      <w:r w:rsidRPr="00CF658A">
        <w:rPr>
          <w:rFonts w:ascii="Verdana" w:hAnsi="Verdana"/>
          <w:sz w:val="22"/>
          <w:szCs w:val="22"/>
        </w:rPr>
        <w:t>:-</w:t>
      </w:r>
      <w:proofErr w:type="gramEnd"/>
      <w:r w:rsidRPr="00CF658A">
        <w:rPr>
          <w:rFonts w:ascii="Verdana" w:hAnsi="Verdana"/>
          <w:sz w:val="22"/>
          <w:szCs w:val="22"/>
        </w:rPr>
        <w:t xml:space="preserve">  Proceedings not coming within section 160(1) of the Evidence Law - Onus of proving that the spouse of an accused person is a competent witness for the prosecution – On whom lies - Whether presumption arises from the nature of oath taken or from the religious belief professed by the spouse – Wrongly admitted evidence – Where same removal raises a doubt as to the conviction made – Duty of appellate court thereto where prosecution fails to invite court to consider a retrial</w:t>
      </w:r>
    </w:p>
    <w:p w:rsidR="00C10547" w:rsidRPr="00CF658A" w:rsidRDefault="00C10547" w:rsidP="00C66C4F">
      <w:pPr>
        <w:pStyle w:val="t2italics"/>
        <w:spacing w:before="240" w:beforeAutospacing="0" w:line="276" w:lineRule="auto"/>
        <w:jc w:val="both"/>
        <w:rPr>
          <w:sz w:val="22"/>
          <w:szCs w:val="22"/>
        </w:rPr>
      </w:pPr>
      <w:r w:rsidRPr="00CF658A">
        <w:rPr>
          <w:rFonts w:ascii="Verdana" w:hAnsi="Verdana"/>
          <w:iCs/>
          <w:sz w:val="22"/>
          <w:szCs w:val="22"/>
        </w:rPr>
        <w:t>INTERPRETATION OF STATUTES</w:t>
      </w:r>
      <w:r w:rsidR="00C66C4F" w:rsidRPr="00CF658A">
        <w:rPr>
          <w:rFonts w:ascii="Verdana" w:hAnsi="Verdana"/>
          <w:iCs/>
          <w:sz w:val="22"/>
          <w:szCs w:val="22"/>
        </w:rPr>
        <w:t>: -</w:t>
      </w:r>
      <w:r w:rsidRPr="00CF658A">
        <w:rPr>
          <w:rFonts w:ascii="Verdana" w:hAnsi="Verdana"/>
          <w:iCs/>
          <w:sz w:val="22"/>
          <w:szCs w:val="22"/>
        </w:rPr>
        <w:t xml:space="preserve"> Evidence Act </w:t>
      </w:r>
      <w:r w:rsidR="00C66C4F" w:rsidRPr="00CF658A">
        <w:rPr>
          <w:rStyle w:val="grame"/>
          <w:rFonts w:ascii="Verdana" w:hAnsi="Verdana"/>
          <w:iCs/>
          <w:sz w:val="22"/>
          <w:szCs w:val="22"/>
        </w:rPr>
        <w:t>s.226 (</w:t>
      </w:r>
      <w:r w:rsidRPr="00CF658A">
        <w:rPr>
          <w:rFonts w:ascii="Verdana" w:hAnsi="Verdana"/>
          <w:iCs/>
          <w:sz w:val="22"/>
          <w:szCs w:val="22"/>
        </w:rPr>
        <w:t xml:space="preserve">1); Supreme Court Act; 1960 </w:t>
      </w:r>
      <w:r w:rsidR="00C66C4F" w:rsidRPr="00CF658A">
        <w:rPr>
          <w:rFonts w:ascii="Verdana" w:hAnsi="Verdana"/>
          <w:iCs/>
          <w:sz w:val="22"/>
          <w:szCs w:val="22"/>
        </w:rPr>
        <w:t>s.26 (</w:t>
      </w:r>
      <w:r w:rsidRPr="00CF658A">
        <w:rPr>
          <w:rFonts w:ascii="Verdana" w:hAnsi="Verdana"/>
          <w:iCs/>
          <w:sz w:val="22"/>
          <w:szCs w:val="22"/>
        </w:rPr>
        <w:t xml:space="preserve">1), proviso - Northern Nigeria Evidence Law </w:t>
      </w:r>
      <w:r w:rsidR="00C66C4F" w:rsidRPr="00CF658A">
        <w:rPr>
          <w:rFonts w:ascii="Verdana" w:hAnsi="Verdana"/>
          <w:iCs/>
          <w:sz w:val="22"/>
          <w:szCs w:val="22"/>
        </w:rPr>
        <w:t>s.160 (</w:t>
      </w:r>
      <w:r w:rsidRPr="00CF658A">
        <w:rPr>
          <w:rFonts w:ascii="Verdana" w:hAnsi="Verdana"/>
          <w:iCs/>
          <w:sz w:val="22"/>
          <w:szCs w:val="22"/>
        </w:rPr>
        <w:t xml:space="preserve">1) </w:t>
      </w:r>
    </w:p>
    <w:p w:rsidR="008D10DB" w:rsidRPr="00CF658A" w:rsidRDefault="008D10DB" w:rsidP="008D10DB">
      <w:pPr>
        <w:pStyle w:val="NoSpacing"/>
        <w:spacing w:before="240" w:line="276" w:lineRule="auto"/>
        <w:rPr>
          <w:rFonts w:ascii="Verdana" w:hAnsi="Verdana"/>
        </w:rPr>
      </w:pPr>
    </w:p>
    <w:p w:rsidR="00B45D71" w:rsidRDefault="00B45D71" w:rsidP="008D10DB">
      <w:pPr>
        <w:spacing w:before="240" w:after="0"/>
        <w:rPr>
          <w:rFonts w:ascii="Verdana" w:hAnsi="Verdana"/>
          <w:b/>
        </w:rPr>
      </w:pPr>
    </w:p>
    <w:p w:rsidR="00B45D71" w:rsidRDefault="00397241" w:rsidP="008D10DB">
      <w:pPr>
        <w:spacing w:before="240" w:after="0"/>
        <w:rPr>
          <w:rFonts w:ascii="Verdana" w:hAnsi="Verdana"/>
          <w:b/>
        </w:rPr>
      </w:pPr>
      <w:r>
        <w:rPr>
          <w:rFonts w:ascii="Verdana" w:hAnsi="Verdana"/>
          <w:b/>
        </w:rPr>
        <w:t>MAIN JUDGMENT</w:t>
      </w:r>
    </w:p>
    <w:p w:rsidR="00B15E44" w:rsidRDefault="004F15AC" w:rsidP="008D10DB">
      <w:pPr>
        <w:pStyle w:val="body2indt"/>
        <w:spacing w:before="240" w:beforeAutospacing="0" w:after="0" w:afterAutospacing="0" w:line="276" w:lineRule="auto"/>
        <w:jc w:val="both"/>
        <w:rPr>
          <w:rFonts w:ascii="Verdana" w:hAnsi="Verdana"/>
          <w:sz w:val="22"/>
          <w:szCs w:val="22"/>
        </w:rPr>
      </w:pPr>
      <w:r w:rsidRPr="00C13FD2">
        <w:rPr>
          <w:rFonts w:ascii="Verdana" w:hAnsi="Verdana"/>
          <w:b/>
          <w:sz w:val="22"/>
          <w:szCs w:val="22"/>
        </w:rPr>
        <w:t>BRETT, J.S.C.</w:t>
      </w:r>
      <w:r w:rsidRPr="00C73C50">
        <w:rPr>
          <w:rFonts w:ascii="Verdana" w:hAnsi="Verdana"/>
          <w:sz w:val="22"/>
          <w:szCs w:val="22"/>
        </w:rPr>
        <w:t xml:space="preserve"> (Delivering the Judgment of the Court): </w:t>
      </w:r>
    </w:p>
    <w:p w:rsidR="004F15AC" w:rsidRDefault="004F15AC" w:rsidP="008D10DB">
      <w:pPr>
        <w:pStyle w:val="body2indt"/>
        <w:spacing w:before="240" w:beforeAutospacing="0" w:after="0" w:afterAutospacing="0" w:line="276" w:lineRule="auto"/>
        <w:jc w:val="both"/>
        <w:rPr>
          <w:rFonts w:ascii="Verdana" w:hAnsi="Verdana"/>
          <w:sz w:val="22"/>
          <w:szCs w:val="22"/>
        </w:rPr>
      </w:pPr>
      <w:r w:rsidRPr="00C73C50">
        <w:rPr>
          <w:rFonts w:ascii="Verdana" w:hAnsi="Verdana"/>
          <w:sz w:val="22"/>
          <w:szCs w:val="22"/>
        </w:rPr>
        <w:t xml:space="preserve">The appellant was convicted of culpable homicide punishable with death. In the words of the judgment of Jones, J., the prosecution evidence consisted mainly of two eye-witnesses, </w:t>
      </w:r>
      <w:proofErr w:type="spellStart"/>
      <w:r w:rsidRPr="00C73C50">
        <w:rPr>
          <w:rFonts w:ascii="Verdana" w:hAnsi="Verdana"/>
          <w:sz w:val="22"/>
          <w:szCs w:val="22"/>
        </w:rPr>
        <w:t>Ladi</w:t>
      </w:r>
      <w:proofErr w:type="spellEnd"/>
      <w:r w:rsidRPr="00C73C50">
        <w:rPr>
          <w:rFonts w:ascii="Verdana" w:hAnsi="Verdana"/>
          <w:sz w:val="22"/>
          <w:szCs w:val="22"/>
        </w:rPr>
        <w:t xml:space="preserve"> </w:t>
      </w:r>
      <w:proofErr w:type="spellStart"/>
      <w:r w:rsidRPr="00C73C50">
        <w:rPr>
          <w:rFonts w:ascii="Verdana" w:hAnsi="Verdana"/>
          <w:sz w:val="22"/>
          <w:szCs w:val="22"/>
        </w:rPr>
        <w:t>Julde</w:t>
      </w:r>
      <w:proofErr w:type="spellEnd"/>
      <w:r w:rsidRPr="00C73C50">
        <w:rPr>
          <w:rFonts w:ascii="Verdana" w:hAnsi="Verdana"/>
          <w:sz w:val="22"/>
          <w:szCs w:val="22"/>
        </w:rPr>
        <w:t xml:space="preserve"> the wife of </w:t>
      </w:r>
      <w:proofErr w:type="spellStart"/>
      <w:r w:rsidRPr="00C73C50">
        <w:rPr>
          <w:rFonts w:ascii="Verdana" w:hAnsi="Verdana"/>
          <w:sz w:val="22"/>
          <w:szCs w:val="22"/>
        </w:rPr>
        <w:t>Julde</w:t>
      </w:r>
      <w:proofErr w:type="spellEnd"/>
      <w:r w:rsidRPr="00C73C50">
        <w:rPr>
          <w:rFonts w:ascii="Verdana" w:hAnsi="Verdana"/>
          <w:sz w:val="22"/>
          <w:szCs w:val="22"/>
        </w:rPr>
        <w:t xml:space="preserve">, the deceased, and </w:t>
      </w:r>
      <w:proofErr w:type="spellStart"/>
      <w:r w:rsidRPr="00C73C50">
        <w:rPr>
          <w:rFonts w:ascii="Verdana" w:hAnsi="Verdana"/>
          <w:sz w:val="22"/>
          <w:szCs w:val="22"/>
        </w:rPr>
        <w:t>Saduja</w:t>
      </w:r>
      <w:proofErr w:type="spellEnd"/>
      <w:r w:rsidRPr="00C73C50">
        <w:rPr>
          <w:rFonts w:ascii="Verdana" w:hAnsi="Verdana"/>
          <w:sz w:val="22"/>
          <w:szCs w:val="22"/>
        </w:rPr>
        <w:t xml:space="preserve"> </w:t>
      </w:r>
      <w:proofErr w:type="spellStart"/>
      <w:r w:rsidRPr="00C73C50">
        <w:rPr>
          <w:rFonts w:ascii="Verdana" w:hAnsi="Verdana"/>
          <w:sz w:val="22"/>
          <w:szCs w:val="22"/>
        </w:rPr>
        <w:t>Useni</w:t>
      </w:r>
      <w:proofErr w:type="spellEnd"/>
      <w:r w:rsidRPr="00C73C50">
        <w:rPr>
          <w:rFonts w:ascii="Verdana" w:hAnsi="Verdana"/>
          <w:sz w:val="22"/>
          <w:szCs w:val="22"/>
        </w:rPr>
        <w:t xml:space="preserve">, the wife of the appellant. Their story </w:t>
      </w:r>
      <w:r w:rsidRPr="00C73C50">
        <w:rPr>
          <w:rStyle w:val="grame"/>
          <w:rFonts w:ascii="Verdana" w:hAnsi="Verdana"/>
          <w:sz w:val="22"/>
          <w:szCs w:val="22"/>
        </w:rPr>
        <w:t>was</w:t>
      </w:r>
      <w:r w:rsidRPr="00C73C50">
        <w:rPr>
          <w:rFonts w:ascii="Verdana" w:hAnsi="Verdana"/>
          <w:sz w:val="22"/>
          <w:szCs w:val="22"/>
        </w:rPr>
        <w:t xml:space="preserve"> that one evening </w:t>
      </w:r>
      <w:proofErr w:type="spellStart"/>
      <w:r w:rsidRPr="00C73C50">
        <w:rPr>
          <w:rFonts w:ascii="Verdana" w:hAnsi="Verdana"/>
          <w:sz w:val="22"/>
          <w:szCs w:val="22"/>
        </w:rPr>
        <w:t>Saduja</w:t>
      </w:r>
      <w:proofErr w:type="spellEnd"/>
      <w:r w:rsidRPr="00C73C50">
        <w:rPr>
          <w:rFonts w:ascii="Verdana" w:hAnsi="Verdana"/>
          <w:sz w:val="22"/>
          <w:szCs w:val="22"/>
        </w:rPr>
        <w:t xml:space="preserve">, who was </w:t>
      </w:r>
      <w:proofErr w:type="spellStart"/>
      <w:r w:rsidRPr="00C73C50">
        <w:rPr>
          <w:rFonts w:ascii="Verdana" w:hAnsi="Verdana"/>
          <w:sz w:val="22"/>
          <w:szCs w:val="22"/>
        </w:rPr>
        <w:t>Julde’s</w:t>
      </w:r>
      <w:proofErr w:type="spellEnd"/>
      <w:r w:rsidRPr="00C73C50">
        <w:rPr>
          <w:rFonts w:ascii="Verdana" w:hAnsi="Verdana"/>
          <w:sz w:val="22"/>
          <w:szCs w:val="22"/>
        </w:rPr>
        <w:t xml:space="preserve"> aunt, went to </w:t>
      </w:r>
      <w:proofErr w:type="spellStart"/>
      <w:r w:rsidRPr="00C73C50">
        <w:rPr>
          <w:rFonts w:ascii="Verdana" w:hAnsi="Verdana"/>
          <w:sz w:val="22"/>
          <w:szCs w:val="22"/>
        </w:rPr>
        <w:t>Julde’s</w:t>
      </w:r>
      <w:proofErr w:type="spellEnd"/>
      <w:r w:rsidRPr="00C73C50">
        <w:rPr>
          <w:rFonts w:ascii="Verdana" w:hAnsi="Verdana"/>
          <w:sz w:val="22"/>
          <w:szCs w:val="22"/>
        </w:rPr>
        <w:t xml:space="preserve"> house, where he and </w:t>
      </w:r>
      <w:proofErr w:type="spellStart"/>
      <w:r w:rsidRPr="00C73C50">
        <w:rPr>
          <w:rFonts w:ascii="Verdana" w:hAnsi="Verdana"/>
          <w:sz w:val="22"/>
          <w:szCs w:val="22"/>
        </w:rPr>
        <w:t>Ladi</w:t>
      </w:r>
      <w:proofErr w:type="spellEnd"/>
      <w:r w:rsidRPr="00C73C50">
        <w:rPr>
          <w:rFonts w:ascii="Verdana" w:hAnsi="Verdana"/>
          <w:sz w:val="22"/>
          <w:szCs w:val="22"/>
        </w:rPr>
        <w:t xml:space="preserve"> were, and sat down there. The appellant arrived and asked </w:t>
      </w:r>
      <w:proofErr w:type="spellStart"/>
      <w:r w:rsidRPr="00C73C50">
        <w:rPr>
          <w:rFonts w:ascii="Verdana" w:hAnsi="Verdana"/>
          <w:sz w:val="22"/>
          <w:szCs w:val="22"/>
        </w:rPr>
        <w:t>Saduja</w:t>
      </w:r>
      <w:proofErr w:type="spellEnd"/>
      <w:r w:rsidRPr="00C73C50">
        <w:rPr>
          <w:rFonts w:ascii="Verdana" w:hAnsi="Verdana"/>
          <w:sz w:val="22"/>
          <w:szCs w:val="22"/>
        </w:rPr>
        <w:t xml:space="preserve"> to go home with him. She refused and according to herself was encouraged in her refusal by </w:t>
      </w:r>
      <w:proofErr w:type="spellStart"/>
      <w:r w:rsidRPr="00C73C50">
        <w:rPr>
          <w:rFonts w:ascii="Verdana" w:hAnsi="Verdana"/>
          <w:sz w:val="22"/>
          <w:szCs w:val="22"/>
        </w:rPr>
        <w:t>Julde</w:t>
      </w:r>
      <w:proofErr w:type="spellEnd"/>
      <w:r w:rsidRPr="00C73C50">
        <w:rPr>
          <w:rFonts w:ascii="Verdana" w:hAnsi="Verdana"/>
          <w:sz w:val="22"/>
          <w:szCs w:val="22"/>
        </w:rPr>
        <w:t xml:space="preserve">. The appellant then picked up a stick and hit </w:t>
      </w:r>
      <w:proofErr w:type="spellStart"/>
      <w:r w:rsidRPr="00C73C50">
        <w:rPr>
          <w:rFonts w:ascii="Verdana" w:hAnsi="Verdana"/>
          <w:sz w:val="22"/>
          <w:szCs w:val="22"/>
        </w:rPr>
        <w:t>Julde</w:t>
      </w:r>
      <w:proofErr w:type="spellEnd"/>
      <w:r w:rsidRPr="00C73C50">
        <w:rPr>
          <w:rFonts w:ascii="Verdana" w:hAnsi="Verdana"/>
          <w:sz w:val="22"/>
          <w:szCs w:val="22"/>
        </w:rPr>
        <w:t xml:space="preserve"> on the head with it; after that he went to his house, came back with a bow and arrow and shot </w:t>
      </w:r>
      <w:proofErr w:type="spellStart"/>
      <w:r w:rsidRPr="00C73C50">
        <w:rPr>
          <w:rFonts w:ascii="Verdana" w:hAnsi="Verdana"/>
          <w:sz w:val="22"/>
          <w:szCs w:val="22"/>
        </w:rPr>
        <w:t>Julde</w:t>
      </w:r>
      <w:proofErr w:type="spellEnd"/>
      <w:r w:rsidRPr="00C73C50">
        <w:rPr>
          <w:rFonts w:ascii="Verdana" w:hAnsi="Verdana"/>
          <w:sz w:val="22"/>
          <w:szCs w:val="22"/>
        </w:rPr>
        <w:t xml:space="preserve"> in the thigh. </w:t>
      </w:r>
      <w:proofErr w:type="spellStart"/>
      <w:r w:rsidRPr="00C73C50">
        <w:rPr>
          <w:rFonts w:ascii="Verdana" w:hAnsi="Verdana"/>
          <w:sz w:val="22"/>
          <w:szCs w:val="22"/>
        </w:rPr>
        <w:t>Julde</w:t>
      </w:r>
      <w:proofErr w:type="spellEnd"/>
      <w:r w:rsidRPr="00C73C50">
        <w:rPr>
          <w:rFonts w:ascii="Verdana" w:hAnsi="Verdana"/>
          <w:sz w:val="22"/>
          <w:szCs w:val="22"/>
        </w:rPr>
        <w:t xml:space="preserve"> died soon after; the post mortem showed bleeding inside the skull and from the left femoral vein and a big branch of it, and either injury was sufficient to cause death.</w:t>
      </w:r>
    </w:p>
    <w:p w:rsidR="00CF658A" w:rsidRDefault="00CF658A" w:rsidP="008D10DB">
      <w:pPr>
        <w:pStyle w:val="body2indt"/>
        <w:spacing w:before="240" w:beforeAutospacing="0" w:after="0" w:afterAutospacing="0" w:line="276" w:lineRule="auto"/>
        <w:jc w:val="both"/>
        <w:rPr>
          <w:rFonts w:ascii="Verdana" w:hAnsi="Verdana"/>
          <w:sz w:val="22"/>
          <w:szCs w:val="22"/>
        </w:rPr>
      </w:pPr>
    </w:p>
    <w:p w:rsidR="004F15AC" w:rsidRDefault="004F15AC" w:rsidP="008D10DB">
      <w:pPr>
        <w:pStyle w:val="body2indt"/>
        <w:spacing w:before="240" w:beforeAutospacing="0" w:after="0" w:afterAutospacing="0" w:line="276" w:lineRule="auto"/>
        <w:jc w:val="both"/>
        <w:rPr>
          <w:rFonts w:ascii="Verdana" w:hAnsi="Verdana"/>
          <w:sz w:val="22"/>
          <w:szCs w:val="22"/>
        </w:rPr>
      </w:pPr>
      <w:r w:rsidRPr="00C73C50">
        <w:rPr>
          <w:rFonts w:ascii="Verdana" w:hAnsi="Verdana"/>
          <w:sz w:val="22"/>
          <w:szCs w:val="22"/>
        </w:rPr>
        <w:t xml:space="preserve">The appellant said in evidence that he went to </w:t>
      </w:r>
      <w:proofErr w:type="spellStart"/>
      <w:r w:rsidRPr="00C73C50">
        <w:rPr>
          <w:rFonts w:ascii="Verdana" w:hAnsi="Verdana"/>
          <w:sz w:val="22"/>
          <w:szCs w:val="22"/>
        </w:rPr>
        <w:t>Julde’s</w:t>
      </w:r>
      <w:proofErr w:type="spellEnd"/>
      <w:r w:rsidRPr="00C73C50">
        <w:rPr>
          <w:rFonts w:ascii="Verdana" w:hAnsi="Verdana"/>
          <w:sz w:val="22"/>
          <w:szCs w:val="22"/>
        </w:rPr>
        <w:t xml:space="preserve"> house to take his wife home and that while he tried to drag her away by pulling one arm </w:t>
      </w:r>
      <w:proofErr w:type="spellStart"/>
      <w:r w:rsidRPr="00C73C50">
        <w:rPr>
          <w:rFonts w:ascii="Verdana" w:hAnsi="Verdana"/>
          <w:sz w:val="22"/>
          <w:szCs w:val="22"/>
        </w:rPr>
        <w:t>Julde</w:t>
      </w:r>
      <w:proofErr w:type="spellEnd"/>
      <w:r w:rsidRPr="00C73C50">
        <w:rPr>
          <w:rFonts w:ascii="Verdana" w:hAnsi="Verdana"/>
          <w:sz w:val="22"/>
          <w:szCs w:val="22"/>
        </w:rPr>
        <w:t xml:space="preserve"> tried to keep her there by pulling the other. He said that he was drunk at the time and did not remember what took place after that. His defence of insanity was rejected, but the judge, while accepting that he was subject to lifts of some sort of depression an</w:t>
      </w:r>
      <w:r w:rsidR="00B15E44">
        <w:rPr>
          <w:rFonts w:ascii="Verdana" w:hAnsi="Verdana"/>
          <w:sz w:val="22"/>
          <w:szCs w:val="22"/>
        </w:rPr>
        <w:t>d partial amnesia”, came to no cl</w:t>
      </w:r>
      <w:r w:rsidRPr="00C73C50">
        <w:rPr>
          <w:rFonts w:ascii="Verdana" w:hAnsi="Verdana"/>
          <w:sz w:val="22"/>
          <w:szCs w:val="22"/>
        </w:rPr>
        <w:t>ear finding on whether he was suffering from a genuine loss of memory about the killing</w:t>
      </w:r>
      <w:r w:rsidR="00B15E44">
        <w:rPr>
          <w:rFonts w:ascii="Verdana" w:hAnsi="Verdana"/>
          <w:sz w:val="22"/>
          <w:szCs w:val="22"/>
        </w:rPr>
        <w:t xml:space="preserve"> of </w:t>
      </w:r>
      <w:proofErr w:type="spellStart"/>
      <w:r w:rsidR="00B15E44">
        <w:rPr>
          <w:rFonts w:ascii="Verdana" w:hAnsi="Verdana"/>
          <w:sz w:val="22"/>
          <w:szCs w:val="22"/>
        </w:rPr>
        <w:t>Julde</w:t>
      </w:r>
      <w:proofErr w:type="spellEnd"/>
      <w:r w:rsidR="00B15E44">
        <w:rPr>
          <w:rFonts w:ascii="Verdana" w:hAnsi="Verdana"/>
          <w:sz w:val="22"/>
          <w:szCs w:val="22"/>
        </w:rPr>
        <w:t>. If he was, it would i</w:t>
      </w:r>
      <w:r w:rsidRPr="00C73C50">
        <w:rPr>
          <w:rFonts w:ascii="Verdana" w:hAnsi="Verdana"/>
          <w:sz w:val="22"/>
          <w:szCs w:val="22"/>
        </w:rPr>
        <w:t xml:space="preserve">ncrease the burden on the prosecution for the reason explained in </w:t>
      </w:r>
      <w:proofErr w:type="spellStart"/>
      <w:r w:rsidRPr="00C73C50">
        <w:rPr>
          <w:rFonts w:ascii="Verdana" w:hAnsi="Verdana"/>
          <w:sz w:val="22"/>
          <w:szCs w:val="22"/>
        </w:rPr>
        <w:t>Broadhurst</w:t>
      </w:r>
      <w:proofErr w:type="spellEnd"/>
      <w:r w:rsidRPr="00C73C50">
        <w:rPr>
          <w:rFonts w:ascii="Verdana" w:hAnsi="Verdana"/>
          <w:sz w:val="22"/>
          <w:szCs w:val="22"/>
        </w:rPr>
        <w:t xml:space="preserve"> v. The Queen (1964) A.C. 441, namely that the court must reflect that by force of circumstances it had only heard one side of the case, and it is desirable that there should always be an express finding where a loss of memory is alleged. </w:t>
      </w:r>
      <w:proofErr w:type="spellStart"/>
      <w:r w:rsidRPr="00C73C50">
        <w:rPr>
          <w:rFonts w:ascii="Verdana" w:hAnsi="Verdana"/>
          <w:sz w:val="22"/>
          <w:szCs w:val="22"/>
        </w:rPr>
        <w:t>Saduja</w:t>
      </w:r>
      <w:proofErr w:type="spellEnd"/>
      <w:r w:rsidRPr="00C73C50">
        <w:rPr>
          <w:rFonts w:ascii="Verdana" w:hAnsi="Verdana"/>
          <w:sz w:val="22"/>
          <w:szCs w:val="22"/>
        </w:rPr>
        <w:t xml:space="preserve">, who was a pagan and was sworn on a knife, was not proved by the prosecution to have been the appellant’s wife by a non- monogamous marriage. The onus of proving that the spouse of an accused person is a competent witness for the prosecution on any charge not coming within section 160(1) of the Evidence Law is on the prosecution and no presumption arises from the nature of the oath taken or from the religious belief professed by the spouse: R. v. </w:t>
      </w:r>
      <w:proofErr w:type="spellStart"/>
      <w:r w:rsidRPr="00C73C50">
        <w:rPr>
          <w:rFonts w:ascii="Verdana" w:hAnsi="Verdana"/>
          <w:sz w:val="22"/>
          <w:szCs w:val="22"/>
        </w:rPr>
        <w:t>Idiong</w:t>
      </w:r>
      <w:proofErr w:type="spellEnd"/>
      <w:r w:rsidRPr="00C73C50">
        <w:rPr>
          <w:rFonts w:ascii="Verdana" w:hAnsi="Verdana"/>
          <w:sz w:val="22"/>
          <w:szCs w:val="22"/>
        </w:rPr>
        <w:t xml:space="preserve"> (1950) 13 W.A.C.A. 30. It </w:t>
      </w:r>
      <w:r w:rsidRPr="00C73C50">
        <w:rPr>
          <w:rFonts w:ascii="Verdana" w:hAnsi="Verdana"/>
          <w:sz w:val="22"/>
          <w:szCs w:val="22"/>
        </w:rPr>
        <w:lastRenderedPageBreak/>
        <w:t xml:space="preserve">follows that </w:t>
      </w:r>
      <w:proofErr w:type="spellStart"/>
      <w:r w:rsidRPr="00C73C50">
        <w:rPr>
          <w:rFonts w:ascii="Verdana" w:hAnsi="Verdana"/>
          <w:sz w:val="22"/>
          <w:szCs w:val="22"/>
        </w:rPr>
        <w:t>Saduja’s</w:t>
      </w:r>
      <w:proofErr w:type="spellEnd"/>
      <w:r w:rsidRPr="00C73C50">
        <w:rPr>
          <w:rFonts w:ascii="Verdana" w:hAnsi="Verdana"/>
          <w:sz w:val="22"/>
          <w:szCs w:val="22"/>
        </w:rPr>
        <w:t xml:space="preserve"> evidence was wrongfully admitted and that the appeal must be allowed unless this Court can hold that no substantial miscarriage of justice has occurred and apply the proviso to section 26(1) of the Supreme Court Act.</w:t>
      </w:r>
    </w:p>
    <w:p w:rsidR="00CF658A" w:rsidRDefault="00CF658A" w:rsidP="008D10DB">
      <w:pPr>
        <w:pStyle w:val="body2indt"/>
        <w:spacing w:before="240" w:beforeAutospacing="0" w:after="0" w:afterAutospacing="0" w:line="276" w:lineRule="auto"/>
        <w:jc w:val="both"/>
        <w:rPr>
          <w:rFonts w:ascii="Verdana" w:hAnsi="Verdana"/>
          <w:sz w:val="22"/>
          <w:szCs w:val="22"/>
        </w:rPr>
      </w:pPr>
    </w:p>
    <w:p w:rsidR="004F15AC" w:rsidRPr="00C73C50" w:rsidRDefault="004F15AC" w:rsidP="008D10DB">
      <w:pPr>
        <w:pStyle w:val="body2indt"/>
        <w:spacing w:before="240" w:beforeAutospacing="0" w:after="0" w:afterAutospacing="0" w:line="276" w:lineRule="auto"/>
        <w:jc w:val="both"/>
        <w:rPr>
          <w:sz w:val="22"/>
          <w:szCs w:val="22"/>
        </w:rPr>
      </w:pPr>
      <w:r w:rsidRPr="00C73C50">
        <w:rPr>
          <w:rFonts w:ascii="Verdana" w:hAnsi="Verdana"/>
          <w:sz w:val="22"/>
          <w:szCs w:val="22"/>
        </w:rPr>
        <w:t>Section 226(1) of the Evidence Act provides that:-</w:t>
      </w:r>
    </w:p>
    <w:p w:rsidR="004F15AC" w:rsidRDefault="004F15AC" w:rsidP="008D10DB">
      <w:pPr>
        <w:pStyle w:val="body2indt"/>
        <w:spacing w:before="240" w:beforeAutospacing="0" w:after="0" w:afterAutospacing="0" w:line="276" w:lineRule="auto"/>
        <w:ind w:left="720"/>
        <w:jc w:val="both"/>
        <w:rPr>
          <w:rFonts w:ascii="Verdana" w:hAnsi="Verdana"/>
          <w:sz w:val="22"/>
          <w:szCs w:val="22"/>
        </w:rPr>
      </w:pPr>
      <w:r w:rsidRPr="00C73C50">
        <w:rPr>
          <w:rFonts w:ascii="Verdana" w:hAnsi="Verdana"/>
          <w:sz w:val="22"/>
          <w:szCs w:val="22"/>
        </w:rPr>
        <w:t>‘The wrongful admission of evidence shall not of itself be a ground for the reversal of any decision in any case where it shall appear to the court on appeal that the evidence so admitted cannot reasonably be held to have affected the decision and that such decision would have been the same if such evidence had not been admitted.”</w:t>
      </w:r>
    </w:p>
    <w:p w:rsidR="00CF658A" w:rsidRDefault="00CF658A" w:rsidP="008D10DB">
      <w:pPr>
        <w:pStyle w:val="body2indt"/>
        <w:spacing w:before="240" w:beforeAutospacing="0" w:after="0" w:afterAutospacing="0" w:line="276" w:lineRule="auto"/>
        <w:jc w:val="both"/>
        <w:rPr>
          <w:rFonts w:ascii="Verdana" w:hAnsi="Verdana"/>
          <w:sz w:val="22"/>
          <w:szCs w:val="22"/>
        </w:rPr>
      </w:pPr>
    </w:p>
    <w:p w:rsidR="004F15AC" w:rsidRDefault="004F15AC" w:rsidP="008D10DB">
      <w:pPr>
        <w:pStyle w:val="body2indt"/>
        <w:spacing w:before="240" w:beforeAutospacing="0" w:after="0" w:afterAutospacing="0" w:line="276" w:lineRule="auto"/>
        <w:jc w:val="both"/>
        <w:rPr>
          <w:rFonts w:ascii="Verdana" w:hAnsi="Verdana"/>
          <w:sz w:val="22"/>
          <w:szCs w:val="22"/>
        </w:rPr>
      </w:pPr>
      <w:r w:rsidRPr="00C73C50">
        <w:rPr>
          <w:rFonts w:ascii="Verdana" w:hAnsi="Verdana"/>
          <w:sz w:val="22"/>
          <w:szCs w:val="22"/>
        </w:rPr>
        <w:t>We have already quoted the judge’s general description of the evidence for the prosecution in this case. Immediately after that passage he says, referring to the two eye-witnesses:-</w:t>
      </w:r>
      <w:proofErr w:type="gramStart"/>
      <w:r w:rsidRPr="00C73C50">
        <w:rPr>
          <w:rStyle w:val="grame"/>
          <w:rFonts w:ascii="Verdana" w:hAnsi="Verdana"/>
          <w:sz w:val="22"/>
          <w:szCs w:val="22"/>
        </w:rPr>
        <w:t>’Their</w:t>
      </w:r>
      <w:proofErr w:type="gramEnd"/>
      <w:r w:rsidR="00B15E44">
        <w:rPr>
          <w:rFonts w:ascii="Verdana" w:hAnsi="Verdana"/>
          <w:sz w:val="22"/>
          <w:szCs w:val="22"/>
        </w:rPr>
        <w:t xml:space="preserve"> evidence i</w:t>
      </w:r>
      <w:r w:rsidRPr="00C73C50">
        <w:rPr>
          <w:rFonts w:ascii="Verdana" w:hAnsi="Verdana"/>
          <w:sz w:val="22"/>
          <w:szCs w:val="22"/>
        </w:rPr>
        <w:t xml:space="preserve">s consistent. They both say that ..........:’ etc. Later he refers to certain parts of the evidence of each of them separately. He doubts the part of </w:t>
      </w:r>
      <w:proofErr w:type="spellStart"/>
      <w:r w:rsidRPr="00C73C50">
        <w:rPr>
          <w:rFonts w:ascii="Verdana" w:hAnsi="Verdana"/>
          <w:sz w:val="22"/>
          <w:szCs w:val="22"/>
        </w:rPr>
        <w:t>Ladi’s</w:t>
      </w:r>
      <w:proofErr w:type="spellEnd"/>
      <w:r w:rsidRPr="00C73C50">
        <w:rPr>
          <w:rFonts w:ascii="Verdana" w:hAnsi="Verdana"/>
          <w:sz w:val="22"/>
          <w:szCs w:val="22"/>
        </w:rPr>
        <w:t xml:space="preserve"> evidence where she says that </w:t>
      </w:r>
      <w:proofErr w:type="spellStart"/>
      <w:r w:rsidRPr="00C73C50">
        <w:rPr>
          <w:rFonts w:ascii="Verdana" w:hAnsi="Verdana"/>
          <w:sz w:val="22"/>
          <w:szCs w:val="22"/>
        </w:rPr>
        <w:t>Julde</w:t>
      </w:r>
      <w:proofErr w:type="spellEnd"/>
      <w:r w:rsidRPr="00C73C50">
        <w:rPr>
          <w:rFonts w:ascii="Verdana" w:hAnsi="Verdana"/>
          <w:sz w:val="22"/>
          <w:szCs w:val="22"/>
        </w:rPr>
        <w:t xml:space="preserve"> advised </w:t>
      </w:r>
      <w:proofErr w:type="spellStart"/>
      <w:r w:rsidRPr="00C73C50">
        <w:rPr>
          <w:rFonts w:ascii="Verdana" w:hAnsi="Verdana"/>
          <w:sz w:val="22"/>
          <w:szCs w:val="22"/>
        </w:rPr>
        <w:t>Saduja</w:t>
      </w:r>
      <w:proofErr w:type="spellEnd"/>
      <w:r w:rsidRPr="00C73C50">
        <w:rPr>
          <w:rFonts w:ascii="Verdana" w:hAnsi="Verdana"/>
          <w:sz w:val="22"/>
          <w:szCs w:val="22"/>
        </w:rPr>
        <w:t xml:space="preserve"> to go away but says he has no doubt that her evidence is truthful in essentials. He describes </w:t>
      </w:r>
      <w:proofErr w:type="spellStart"/>
      <w:r w:rsidRPr="00C73C50">
        <w:rPr>
          <w:rFonts w:ascii="Verdana" w:hAnsi="Verdana"/>
          <w:sz w:val="22"/>
          <w:szCs w:val="22"/>
        </w:rPr>
        <w:t>Saduja’s</w:t>
      </w:r>
      <w:proofErr w:type="spellEnd"/>
      <w:r w:rsidRPr="00C73C50">
        <w:rPr>
          <w:rFonts w:ascii="Verdana" w:hAnsi="Verdana"/>
          <w:sz w:val="22"/>
          <w:szCs w:val="22"/>
        </w:rPr>
        <w:t xml:space="preserve"> evidence as fuller than </w:t>
      </w:r>
      <w:proofErr w:type="spellStart"/>
      <w:r w:rsidRPr="00C73C50">
        <w:rPr>
          <w:rFonts w:ascii="Verdana" w:hAnsi="Verdana"/>
          <w:sz w:val="22"/>
          <w:szCs w:val="22"/>
        </w:rPr>
        <w:t>Ladi’s</w:t>
      </w:r>
      <w:proofErr w:type="spellEnd"/>
      <w:r w:rsidRPr="00C73C50">
        <w:rPr>
          <w:rFonts w:ascii="Verdana" w:hAnsi="Verdana"/>
          <w:sz w:val="22"/>
          <w:szCs w:val="22"/>
        </w:rPr>
        <w:t xml:space="preserve"> </w:t>
      </w:r>
      <w:r>
        <w:rPr>
          <w:rFonts w:ascii="Verdana" w:hAnsi="Verdana"/>
          <w:sz w:val="22"/>
          <w:szCs w:val="22"/>
        </w:rPr>
        <w:t>and nearer to that of the appel</w:t>
      </w:r>
      <w:r w:rsidRPr="00C73C50">
        <w:rPr>
          <w:rFonts w:ascii="Verdana" w:hAnsi="Verdana"/>
          <w:sz w:val="22"/>
          <w:szCs w:val="22"/>
        </w:rPr>
        <w:t>lant, but without saying which of the two he consi</w:t>
      </w:r>
      <w:r>
        <w:rPr>
          <w:rFonts w:ascii="Verdana" w:hAnsi="Verdana"/>
          <w:sz w:val="22"/>
          <w:szCs w:val="22"/>
        </w:rPr>
        <w:t>ders more accurate except as re</w:t>
      </w:r>
      <w:r w:rsidRPr="00C73C50">
        <w:rPr>
          <w:rFonts w:ascii="Verdana" w:hAnsi="Verdana"/>
          <w:sz w:val="22"/>
          <w:szCs w:val="22"/>
        </w:rPr>
        <w:t xml:space="preserve">gards </w:t>
      </w:r>
      <w:proofErr w:type="spellStart"/>
      <w:r w:rsidRPr="00C73C50">
        <w:rPr>
          <w:rFonts w:ascii="Verdana" w:hAnsi="Verdana"/>
          <w:sz w:val="22"/>
          <w:szCs w:val="22"/>
        </w:rPr>
        <w:t>Julde’s</w:t>
      </w:r>
      <w:proofErr w:type="spellEnd"/>
      <w:r w:rsidRPr="00C73C50">
        <w:rPr>
          <w:rFonts w:ascii="Verdana" w:hAnsi="Verdana"/>
          <w:sz w:val="22"/>
          <w:szCs w:val="22"/>
        </w:rPr>
        <w:t xml:space="preserve"> trying to prevent </w:t>
      </w:r>
      <w:proofErr w:type="spellStart"/>
      <w:r w:rsidRPr="00C73C50">
        <w:rPr>
          <w:rFonts w:ascii="Verdana" w:hAnsi="Verdana"/>
          <w:sz w:val="22"/>
          <w:szCs w:val="22"/>
        </w:rPr>
        <w:t>Saduja</w:t>
      </w:r>
      <w:proofErr w:type="spellEnd"/>
      <w:r w:rsidRPr="00C73C50">
        <w:rPr>
          <w:rFonts w:ascii="Verdana" w:hAnsi="Verdana"/>
          <w:sz w:val="22"/>
          <w:szCs w:val="22"/>
        </w:rPr>
        <w:t xml:space="preserve"> from leaving, on which point he prefers </w:t>
      </w:r>
      <w:proofErr w:type="spellStart"/>
      <w:r w:rsidRPr="00C73C50">
        <w:rPr>
          <w:rFonts w:ascii="Verdana" w:hAnsi="Verdana"/>
          <w:sz w:val="22"/>
          <w:szCs w:val="22"/>
        </w:rPr>
        <w:t>Saduja’s</w:t>
      </w:r>
      <w:proofErr w:type="spellEnd"/>
      <w:r w:rsidRPr="00C73C50">
        <w:rPr>
          <w:rFonts w:ascii="Verdana" w:hAnsi="Verdana"/>
          <w:sz w:val="22"/>
          <w:szCs w:val="22"/>
        </w:rPr>
        <w:t xml:space="preserve"> evidence. Later still he calls </w:t>
      </w:r>
      <w:proofErr w:type="spellStart"/>
      <w:r w:rsidRPr="00C73C50">
        <w:rPr>
          <w:rFonts w:ascii="Verdana" w:hAnsi="Verdana"/>
          <w:sz w:val="22"/>
          <w:szCs w:val="22"/>
        </w:rPr>
        <w:t>Saduja’s</w:t>
      </w:r>
      <w:proofErr w:type="spellEnd"/>
      <w:r w:rsidRPr="00C73C50">
        <w:rPr>
          <w:rFonts w:ascii="Verdana" w:hAnsi="Verdana"/>
          <w:sz w:val="22"/>
          <w:szCs w:val="22"/>
        </w:rPr>
        <w:t xml:space="preserve"> evidence “useful corroboration” of </w:t>
      </w:r>
      <w:proofErr w:type="spellStart"/>
      <w:r w:rsidRPr="00C73C50">
        <w:rPr>
          <w:rFonts w:ascii="Verdana" w:hAnsi="Verdana"/>
          <w:sz w:val="22"/>
          <w:szCs w:val="22"/>
        </w:rPr>
        <w:t>Ladi’s</w:t>
      </w:r>
      <w:proofErr w:type="spellEnd"/>
      <w:r w:rsidRPr="00C73C50">
        <w:rPr>
          <w:rFonts w:ascii="Verdana" w:hAnsi="Verdana"/>
          <w:sz w:val="22"/>
          <w:szCs w:val="22"/>
        </w:rPr>
        <w:t xml:space="preserve"> identification of the stick and arrow used.</w:t>
      </w:r>
    </w:p>
    <w:p w:rsidR="00CF658A" w:rsidRDefault="00CF658A" w:rsidP="008D10DB">
      <w:pPr>
        <w:pStyle w:val="body2indt"/>
        <w:spacing w:before="240" w:beforeAutospacing="0" w:after="0" w:afterAutospacing="0" w:line="276" w:lineRule="auto"/>
        <w:jc w:val="both"/>
        <w:rPr>
          <w:rFonts w:ascii="Verdana" w:hAnsi="Verdana"/>
          <w:sz w:val="22"/>
          <w:szCs w:val="22"/>
        </w:rPr>
      </w:pPr>
    </w:p>
    <w:p w:rsidR="004F15AC" w:rsidRDefault="004F15AC" w:rsidP="008D10DB">
      <w:pPr>
        <w:pStyle w:val="body2indt"/>
        <w:spacing w:before="240" w:beforeAutospacing="0" w:after="0" w:afterAutospacing="0" w:line="276" w:lineRule="auto"/>
        <w:jc w:val="both"/>
        <w:rPr>
          <w:rFonts w:ascii="Verdana" w:hAnsi="Verdana"/>
          <w:sz w:val="22"/>
          <w:szCs w:val="22"/>
        </w:rPr>
      </w:pPr>
      <w:r w:rsidRPr="00C73C50">
        <w:rPr>
          <w:rFonts w:ascii="Verdana" w:hAnsi="Verdana"/>
          <w:sz w:val="22"/>
          <w:szCs w:val="22"/>
        </w:rPr>
        <w:t xml:space="preserve">If </w:t>
      </w:r>
      <w:proofErr w:type="spellStart"/>
      <w:r w:rsidRPr="00C73C50">
        <w:rPr>
          <w:rFonts w:ascii="Verdana" w:hAnsi="Verdana"/>
          <w:sz w:val="22"/>
          <w:szCs w:val="22"/>
        </w:rPr>
        <w:t>Saduja</w:t>
      </w:r>
      <w:proofErr w:type="spellEnd"/>
      <w:r w:rsidRPr="00C73C50">
        <w:rPr>
          <w:rFonts w:ascii="Verdana" w:hAnsi="Verdana"/>
          <w:sz w:val="22"/>
          <w:szCs w:val="22"/>
        </w:rPr>
        <w:t xml:space="preserve"> had not been called as a witness, and the only eye-witness had been </w:t>
      </w:r>
      <w:proofErr w:type="spellStart"/>
      <w:r w:rsidRPr="00C73C50">
        <w:rPr>
          <w:rFonts w:ascii="Verdana" w:hAnsi="Verdana"/>
          <w:sz w:val="22"/>
          <w:szCs w:val="22"/>
        </w:rPr>
        <w:t>Ladi</w:t>
      </w:r>
      <w:proofErr w:type="spellEnd"/>
      <w:r w:rsidRPr="00C73C50">
        <w:rPr>
          <w:rFonts w:ascii="Verdana" w:hAnsi="Verdana"/>
          <w:sz w:val="22"/>
          <w:szCs w:val="22"/>
        </w:rPr>
        <w:t>, the judge would certainly have been entitled to convict on her ev</w:t>
      </w:r>
      <w:r w:rsidR="00B15E44">
        <w:rPr>
          <w:rFonts w:ascii="Verdana" w:hAnsi="Verdana"/>
          <w:sz w:val="22"/>
          <w:szCs w:val="22"/>
        </w:rPr>
        <w:t>idence; we might even say that it i</w:t>
      </w:r>
      <w:r w:rsidRPr="00C73C50">
        <w:rPr>
          <w:rFonts w:ascii="Verdana" w:hAnsi="Verdana"/>
          <w:sz w:val="22"/>
          <w:szCs w:val="22"/>
        </w:rPr>
        <w:t xml:space="preserve">s probable that he would have done so. However, since he thought </w:t>
      </w:r>
      <w:r w:rsidR="00B15E44">
        <w:rPr>
          <w:rStyle w:val="grame"/>
          <w:rFonts w:ascii="Verdana" w:hAnsi="Verdana"/>
          <w:sz w:val="22"/>
          <w:szCs w:val="22"/>
        </w:rPr>
        <w:t>i</w:t>
      </w:r>
      <w:r w:rsidRPr="00C73C50">
        <w:rPr>
          <w:rStyle w:val="grame"/>
          <w:rFonts w:ascii="Verdana" w:hAnsi="Verdana"/>
          <w:sz w:val="22"/>
          <w:szCs w:val="22"/>
        </w:rPr>
        <w:t>t</w:t>
      </w:r>
      <w:r w:rsidRPr="00C73C50">
        <w:rPr>
          <w:rFonts w:ascii="Verdana" w:hAnsi="Verdana"/>
          <w:sz w:val="22"/>
          <w:szCs w:val="22"/>
        </w:rPr>
        <w:t xml:space="preserve"> worth commenting on the fact that the evidence of the two women was consistent, and preferred </w:t>
      </w:r>
      <w:proofErr w:type="spellStart"/>
      <w:r w:rsidRPr="00C73C50">
        <w:rPr>
          <w:rFonts w:ascii="Verdana" w:hAnsi="Verdana"/>
          <w:sz w:val="22"/>
          <w:szCs w:val="22"/>
        </w:rPr>
        <w:t>Saduja’s</w:t>
      </w:r>
      <w:proofErr w:type="spellEnd"/>
      <w:r w:rsidRPr="00C73C50">
        <w:rPr>
          <w:rFonts w:ascii="Verdana" w:hAnsi="Verdana"/>
          <w:sz w:val="22"/>
          <w:szCs w:val="22"/>
        </w:rPr>
        <w:t xml:space="preserve"> evidence on one point, and described </w:t>
      </w:r>
      <w:proofErr w:type="spellStart"/>
      <w:r w:rsidRPr="00C73C50">
        <w:rPr>
          <w:rFonts w:ascii="Verdana" w:hAnsi="Verdana"/>
          <w:sz w:val="22"/>
          <w:szCs w:val="22"/>
        </w:rPr>
        <w:t>S</w:t>
      </w:r>
      <w:r>
        <w:rPr>
          <w:rFonts w:ascii="Verdana" w:hAnsi="Verdana"/>
          <w:sz w:val="22"/>
          <w:szCs w:val="22"/>
        </w:rPr>
        <w:t>adu</w:t>
      </w:r>
      <w:r w:rsidRPr="00C73C50">
        <w:rPr>
          <w:rFonts w:ascii="Verdana" w:hAnsi="Verdana"/>
          <w:sz w:val="22"/>
          <w:szCs w:val="22"/>
        </w:rPr>
        <w:t>ja’s</w:t>
      </w:r>
      <w:proofErr w:type="spellEnd"/>
      <w:r w:rsidRPr="00C73C50">
        <w:rPr>
          <w:rFonts w:ascii="Verdana" w:hAnsi="Verdana"/>
          <w:sz w:val="22"/>
          <w:szCs w:val="22"/>
        </w:rPr>
        <w:t xml:space="preserve"> evidence as useful corroboration of </w:t>
      </w:r>
      <w:proofErr w:type="spellStart"/>
      <w:r w:rsidRPr="00C73C50">
        <w:rPr>
          <w:rFonts w:ascii="Verdana" w:hAnsi="Verdana"/>
          <w:sz w:val="22"/>
          <w:szCs w:val="22"/>
        </w:rPr>
        <w:t>Ladi’s</w:t>
      </w:r>
      <w:proofErr w:type="spellEnd"/>
      <w:r w:rsidRPr="00C73C50">
        <w:rPr>
          <w:rFonts w:ascii="Verdana" w:hAnsi="Verdana"/>
          <w:sz w:val="22"/>
          <w:szCs w:val="22"/>
        </w:rPr>
        <w:t xml:space="preserve"> on another point, we find it impossible to say that </w:t>
      </w:r>
      <w:proofErr w:type="spellStart"/>
      <w:r w:rsidRPr="00C73C50">
        <w:rPr>
          <w:rFonts w:ascii="Verdana" w:hAnsi="Verdana"/>
          <w:sz w:val="22"/>
          <w:szCs w:val="22"/>
        </w:rPr>
        <w:t>Saduja’s</w:t>
      </w:r>
      <w:proofErr w:type="spellEnd"/>
      <w:r w:rsidRPr="00C73C50">
        <w:rPr>
          <w:rFonts w:ascii="Verdana" w:hAnsi="Verdana"/>
          <w:sz w:val="22"/>
          <w:szCs w:val="22"/>
        </w:rPr>
        <w:t xml:space="preserve"> evidence cannot reasonably be held to have affected the decision. The judgment makes it clear that </w:t>
      </w:r>
      <w:proofErr w:type="spellStart"/>
      <w:r w:rsidRPr="00C73C50">
        <w:rPr>
          <w:rFonts w:ascii="Verdana" w:hAnsi="Verdana"/>
          <w:sz w:val="22"/>
          <w:szCs w:val="22"/>
        </w:rPr>
        <w:t>Ladi’s</w:t>
      </w:r>
      <w:proofErr w:type="spellEnd"/>
      <w:r w:rsidRPr="00C73C50">
        <w:rPr>
          <w:rFonts w:ascii="Verdana" w:hAnsi="Verdana"/>
          <w:sz w:val="22"/>
          <w:szCs w:val="22"/>
        </w:rPr>
        <w:t xml:space="preserve"> evidence gained additional credit from the fact that </w:t>
      </w:r>
      <w:proofErr w:type="spellStart"/>
      <w:r w:rsidRPr="00C73C50">
        <w:rPr>
          <w:rFonts w:ascii="Verdana" w:hAnsi="Verdana"/>
          <w:sz w:val="22"/>
          <w:szCs w:val="22"/>
        </w:rPr>
        <w:t>Saduja’s</w:t>
      </w:r>
      <w:proofErr w:type="spellEnd"/>
      <w:r w:rsidRPr="00C73C50">
        <w:rPr>
          <w:rFonts w:ascii="Verdana" w:hAnsi="Verdana"/>
          <w:sz w:val="22"/>
          <w:szCs w:val="22"/>
        </w:rPr>
        <w:t xml:space="preserve"> was </w:t>
      </w:r>
      <w:r w:rsidRPr="00C73C50">
        <w:rPr>
          <w:rFonts w:ascii="Verdana" w:hAnsi="Verdana"/>
          <w:sz w:val="22"/>
          <w:szCs w:val="22"/>
        </w:rPr>
        <w:lastRenderedPageBreak/>
        <w:t>(on the whole) consistent with it. In view of this, and of the possibility that the appellant was suffering from a loss or memory, we do not feel justified in applying the proviso.</w:t>
      </w:r>
    </w:p>
    <w:p w:rsidR="00CF658A" w:rsidRDefault="00CF658A" w:rsidP="008D10DB">
      <w:pPr>
        <w:pStyle w:val="body2indt"/>
        <w:spacing w:before="240" w:beforeAutospacing="0" w:after="0" w:afterAutospacing="0" w:line="276" w:lineRule="auto"/>
        <w:jc w:val="both"/>
        <w:rPr>
          <w:rFonts w:ascii="Verdana" w:hAnsi="Verdana"/>
          <w:sz w:val="22"/>
          <w:szCs w:val="22"/>
        </w:rPr>
      </w:pPr>
    </w:p>
    <w:p w:rsidR="004F15AC" w:rsidRDefault="004F15AC" w:rsidP="008D10DB">
      <w:pPr>
        <w:pStyle w:val="body2indt"/>
        <w:spacing w:before="240" w:beforeAutospacing="0" w:after="0" w:afterAutospacing="0" w:line="276" w:lineRule="auto"/>
        <w:jc w:val="both"/>
        <w:rPr>
          <w:rFonts w:ascii="Verdana" w:hAnsi="Verdana"/>
          <w:sz w:val="22"/>
          <w:szCs w:val="22"/>
        </w:rPr>
      </w:pPr>
      <w:r w:rsidRPr="00C73C50">
        <w:rPr>
          <w:rFonts w:ascii="Verdana" w:hAnsi="Verdana"/>
          <w:sz w:val="22"/>
          <w:szCs w:val="22"/>
        </w:rPr>
        <w:t xml:space="preserve">The appeal is therefore allowed and the conviction and sentence are set aside. M. </w:t>
      </w:r>
      <w:proofErr w:type="spellStart"/>
      <w:r w:rsidRPr="00C73C50">
        <w:rPr>
          <w:rFonts w:ascii="Verdana" w:hAnsi="Verdana"/>
          <w:sz w:val="22"/>
          <w:szCs w:val="22"/>
        </w:rPr>
        <w:t>Belgore</w:t>
      </w:r>
      <w:proofErr w:type="spellEnd"/>
      <w:r w:rsidRPr="00C73C50">
        <w:rPr>
          <w:rFonts w:ascii="Verdana" w:hAnsi="Verdana"/>
          <w:sz w:val="22"/>
          <w:szCs w:val="22"/>
        </w:rPr>
        <w:t xml:space="preserve"> did not</w:t>
      </w:r>
      <w:r w:rsidR="008D10DB">
        <w:rPr>
          <w:rFonts w:ascii="Verdana" w:hAnsi="Verdana"/>
          <w:sz w:val="22"/>
          <w:szCs w:val="22"/>
        </w:rPr>
        <w:t xml:space="preserve"> </w:t>
      </w:r>
      <w:r w:rsidR="00B45D71">
        <w:rPr>
          <w:rFonts w:ascii="Verdana" w:hAnsi="Verdana"/>
          <w:sz w:val="22"/>
          <w:szCs w:val="22"/>
        </w:rPr>
        <w:t>i</w:t>
      </w:r>
      <w:r w:rsidRPr="00C73C50">
        <w:rPr>
          <w:rStyle w:val="grame"/>
          <w:rFonts w:ascii="Verdana" w:hAnsi="Verdana"/>
          <w:sz w:val="22"/>
          <w:szCs w:val="22"/>
        </w:rPr>
        <w:t>nvite</w:t>
      </w:r>
      <w:r w:rsidRPr="00C73C50">
        <w:rPr>
          <w:rFonts w:ascii="Verdana" w:hAnsi="Verdana"/>
          <w:sz w:val="22"/>
          <w:szCs w:val="22"/>
        </w:rPr>
        <w:t xml:space="preserve"> us to consider ordering a retrial and </w:t>
      </w:r>
      <w:proofErr w:type="spellStart"/>
      <w:r w:rsidRPr="00C73C50">
        <w:rPr>
          <w:rFonts w:ascii="Verdana" w:hAnsi="Verdana"/>
          <w:sz w:val="22"/>
          <w:szCs w:val="22"/>
        </w:rPr>
        <w:t>judgement</w:t>
      </w:r>
      <w:proofErr w:type="spellEnd"/>
      <w:r w:rsidRPr="00C73C50">
        <w:rPr>
          <w:rFonts w:ascii="Verdana" w:hAnsi="Verdana"/>
          <w:sz w:val="22"/>
          <w:szCs w:val="22"/>
        </w:rPr>
        <w:t xml:space="preserve"> and verdict of acquittal are entered.</w:t>
      </w:r>
    </w:p>
    <w:p w:rsidR="00CF658A" w:rsidRDefault="00CF658A" w:rsidP="008D10DB">
      <w:pPr>
        <w:pStyle w:val="body2indt"/>
        <w:spacing w:before="240" w:beforeAutospacing="0" w:after="0" w:afterAutospacing="0" w:line="276" w:lineRule="auto"/>
        <w:jc w:val="both"/>
        <w:rPr>
          <w:rFonts w:ascii="Verdana" w:hAnsi="Verdana"/>
          <w:sz w:val="22"/>
          <w:szCs w:val="22"/>
        </w:rPr>
      </w:pPr>
    </w:p>
    <w:p w:rsidR="004F15AC" w:rsidRPr="00C73C50" w:rsidRDefault="004F15AC" w:rsidP="008D10DB">
      <w:pPr>
        <w:pStyle w:val="body2indt"/>
        <w:spacing w:before="240" w:beforeAutospacing="0" w:after="0" w:afterAutospacing="0" w:line="276" w:lineRule="auto"/>
        <w:jc w:val="both"/>
        <w:rPr>
          <w:sz w:val="22"/>
          <w:szCs w:val="22"/>
        </w:rPr>
      </w:pPr>
      <w:r w:rsidRPr="00C73C50">
        <w:rPr>
          <w:rFonts w:ascii="Verdana" w:hAnsi="Verdana"/>
          <w:sz w:val="22"/>
          <w:szCs w:val="22"/>
        </w:rPr>
        <w:t>Appeal allowed.</w:t>
      </w:r>
    </w:p>
    <w:p w:rsidR="004F15AC" w:rsidRPr="00C73C50" w:rsidRDefault="004F15AC" w:rsidP="008D10DB">
      <w:pPr>
        <w:spacing w:before="240" w:after="0"/>
        <w:jc w:val="both"/>
      </w:pPr>
    </w:p>
    <w:p w:rsidR="00397241" w:rsidRDefault="00397241" w:rsidP="008D10DB">
      <w:pPr>
        <w:spacing w:before="240" w:after="0"/>
        <w:jc w:val="both"/>
      </w:pPr>
    </w:p>
    <w:p w:rsidR="00CF658A" w:rsidRDefault="00CF658A" w:rsidP="008D10DB">
      <w:pPr>
        <w:spacing w:before="240" w:after="0"/>
        <w:jc w:val="both"/>
      </w:pPr>
    </w:p>
    <w:p w:rsidR="00CF658A" w:rsidRDefault="00CF658A" w:rsidP="00CF658A">
      <w:pPr>
        <w:pStyle w:val="NoSpacing"/>
        <w:spacing w:before="240" w:line="276" w:lineRule="auto"/>
        <w:rPr>
          <w:rFonts w:ascii="Verdana" w:hAnsi="Verdana"/>
          <w:sz w:val="18"/>
          <w:szCs w:val="18"/>
        </w:rPr>
      </w:pPr>
      <w:r>
        <w:rPr>
          <w:rFonts w:ascii="Verdana" w:hAnsi="Verdana"/>
          <w:sz w:val="18"/>
          <w:szCs w:val="18"/>
        </w:rPr>
        <w:t>CASES REFERRED TO:-</w:t>
      </w:r>
    </w:p>
    <w:p w:rsidR="00CF658A" w:rsidRPr="002A439B" w:rsidRDefault="00CF658A" w:rsidP="00CF658A">
      <w:pPr>
        <w:pStyle w:val="NoSpacing"/>
        <w:spacing w:before="240" w:line="276" w:lineRule="auto"/>
        <w:rPr>
          <w:rFonts w:ascii="Verdana" w:hAnsi="Verdana"/>
          <w:sz w:val="18"/>
          <w:szCs w:val="18"/>
        </w:rPr>
      </w:pPr>
      <w:proofErr w:type="spellStart"/>
      <w:proofErr w:type="gramStart"/>
      <w:r w:rsidRPr="002A439B">
        <w:rPr>
          <w:rFonts w:ascii="Verdana" w:hAnsi="Verdana"/>
          <w:sz w:val="18"/>
          <w:szCs w:val="18"/>
        </w:rPr>
        <w:t>Broadhurst</w:t>
      </w:r>
      <w:proofErr w:type="spellEnd"/>
      <w:r w:rsidRPr="002A439B">
        <w:rPr>
          <w:rFonts w:ascii="Verdana" w:hAnsi="Verdana"/>
          <w:sz w:val="18"/>
          <w:szCs w:val="18"/>
        </w:rPr>
        <w:t xml:space="preserve"> v.</w:t>
      </w:r>
      <w:proofErr w:type="gramEnd"/>
      <w:r w:rsidRPr="002A439B">
        <w:rPr>
          <w:rFonts w:ascii="Verdana" w:hAnsi="Verdana"/>
          <w:sz w:val="18"/>
          <w:szCs w:val="18"/>
        </w:rPr>
        <w:t xml:space="preserve"> The Queen (1964) A.C. 441</w:t>
      </w:r>
    </w:p>
    <w:p w:rsidR="00CF658A" w:rsidRDefault="00CF658A" w:rsidP="00CF658A">
      <w:pPr>
        <w:pStyle w:val="body2indt"/>
        <w:spacing w:before="240" w:beforeAutospacing="0" w:line="276" w:lineRule="auto"/>
        <w:rPr>
          <w:rFonts w:ascii="Verdana" w:hAnsi="Verdana"/>
          <w:b/>
          <w:sz w:val="22"/>
          <w:szCs w:val="22"/>
        </w:rPr>
      </w:pPr>
      <w:r w:rsidRPr="002A439B">
        <w:rPr>
          <w:rFonts w:ascii="Verdana" w:hAnsi="Verdana"/>
          <w:sz w:val="18"/>
          <w:szCs w:val="18"/>
        </w:rPr>
        <w:t xml:space="preserve">R. </w:t>
      </w:r>
      <w:proofErr w:type="gramStart"/>
      <w:r w:rsidRPr="002A439B">
        <w:rPr>
          <w:rFonts w:ascii="Verdana" w:hAnsi="Verdana"/>
          <w:sz w:val="18"/>
          <w:szCs w:val="18"/>
        </w:rPr>
        <w:t xml:space="preserve">v. </w:t>
      </w:r>
      <w:proofErr w:type="spellStart"/>
      <w:r w:rsidRPr="002A439B">
        <w:rPr>
          <w:rFonts w:ascii="Verdana" w:hAnsi="Verdana"/>
          <w:sz w:val="18"/>
          <w:szCs w:val="18"/>
        </w:rPr>
        <w:t>Idiong</w:t>
      </w:r>
      <w:proofErr w:type="spellEnd"/>
      <w:r w:rsidRPr="002A439B">
        <w:rPr>
          <w:rFonts w:ascii="Verdana" w:hAnsi="Verdana"/>
          <w:sz w:val="18"/>
          <w:szCs w:val="18"/>
        </w:rPr>
        <w:t xml:space="preserve"> (1950) 13 W.A.C.A. 30</w:t>
      </w:r>
      <w:proofErr w:type="gramEnd"/>
    </w:p>
    <w:p w:rsidR="00CF658A" w:rsidRPr="002909E3" w:rsidRDefault="00CF658A" w:rsidP="00CF658A">
      <w:pPr>
        <w:pStyle w:val="t2italics"/>
        <w:spacing w:before="240" w:beforeAutospacing="0" w:after="0" w:afterAutospacing="0" w:line="276" w:lineRule="auto"/>
        <w:jc w:val="center"/>
        <w:rPr>
          <w:sz w:val="28"/>
          <w:szCs w:val="28"/>
        </w:rPr>
      </w:pPr>
    </w:p>
    <w:p w:rsidR="00CF658A" w:rsidRDefault="00CF658A" w:rsidP="008D10DB">
      <w:pPr>
        <w:spacing w:before="240" w:after="0"/>
        <w:jc w:val="both"/>
      </w:pPr>
    </w:p>
    <w:sectPr w:rsidR="00CF658A" w:rsidSect="009C15F9">
      <w:headerReference w:type="default" r:id="rId6"/>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4841" w:rsidRDefault="00AD4841" w:rsidP="00037306">
      <w:pPr>
        <w:spacing w:after="0" w:line="240" w:lineRule="auto"/>
      </w:pPr>
      <w:r>
        <w:separator/>
      </w:r>
    </w:p>
  </w:endnote>
  <w:endnote w:type="continuationSeparator" w:id="0">
    <w:p w:rsidR="00AD4841" w:rsidRDefault="00AD4841" w:rsidP="000373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iraMinPro-W3">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4841" w:rsidRDefault="00AD4841" w:rsidP="00037306">
      <w:pPr>
        <w:spacing w:after="0" w:line="240" w:lineRule="auto"/>
      </w:pPr>
      <w:r>
        <w:separator/>
      </w:r>
    </w:p>
  </w:footnote>
  <w:footnote w:type="continuationSeparator" w:id="0">
    <w:p w:rsidR="00AD4841" w:rsidRDefault="00AD4841" w:rsidP="0003730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163D" w:rsidRPr="0036163D" w:rsidRDefault="00AD4841" w:rsidP="0036163D">
    <w:pPr>
      <w:pStyle w:val="Header"/>
      <w:tabs>
        <w:tab w:val="left" w:pos="3915"/>
        <w:tab w:val="left" w:pos="4545"/>
        <w:tab w:val="left" w:pos="4920"/>
        <w:tab w:val="left" w:pos="5258"/>
        <w:tab w:val="left" w:pos="5415"/>
        <w:tab w:val="left" w:pos="6028"/>
        <w:tab w:val="left" w:pos="6597"/>
      </w:tabs>
      <w:rPr>
        <w:sz w:val="36"/>
        <w:szCs w:val="36"/>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F15AC"/>
    <w:rsid w:val="00037306"/>
    <w:rsid w:val="00120EC4"/>
    <w:rsid w:val="0018137C"/>
    <w:rsid w:val="001D2704"/>
    <w:rsid w:val="001F052D"/>
    <w:rsid w:val="00264671"/>
    <w:rsid w:val="002909E3"/>
    <w:rsid w:val="002A439B"/>
    <w:rsid w:val="00364EDC"/>
    <w:rsid w:val="00397241"/>
    <w:rsid w:val="004A24D0"/>
    <w:rsid w:val="004F15AC"/>
    <w:rsid w:val="00507576"/>
    <w:rsid w:val="007104CA"/>
    <w:rsid w:val="00771B98"/>
    <w:rsid w:val="00864DA3"/>
    <w:rsid w:val="008D10DB"/>
    <w:rsid w:val="008F00BA"/>
    <w:rsid w:val="009071FB"/>
    <w:rsid w:val="009533D4"/>
    <w:rsid w:val="00961CD6"/>
    <w:rsid w:val="009C15F9"/>
    <w:rsid w:val="00A15C80"/>
    <w:rsid w:val="00AD4841"/>
    <w:rsid w:val="00B10D3E"/>
    <w:rsid w:val="00B15E44"/>
    <w:rsid w:val="00B45D71"/>
    <w:rsid w:val="00B71DED"/>
    <w:rsid w:val="00C10547"/>
    <w:rsid w:val="00C66C4F"/>
    <w:rsid w:val="00C81198"/>
    <w:rsid w:val="00CD021C"/>
    <w:rsid w:val="00CF658A"/>
    <w:rsid w:val="00D51233"/>
    <w:rsid w:val="00DA04D5"/>
    <w:rsid w:val="00E74FA5"/>
    <w:rsid w:val="00EB54D7"/>
    <w:rsid w:val="00F1406F"/>
    <w:rsid w:val="00FD42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5A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1cntr">
    <w:name w:val="t1cntr"/>
    <w:basedOn w:val="Normal"/>
    <w:rsid w:val="004F15AC"/>
    <w:pPr>
      <w:spacing w:before="100" w:beforeAutospacing="1" w:after="100" w:afterAutospacing="1" w:line="240" w:lineRule="auto"/>
    </w:pPr>
    <w:rPr>
      <w:rFonts w:ascii="Times New Roman" w:eastAsia="Times New Roman" w:hAnsi="Times New Roman"/>
      <w:sz w:val="24"/>
      <w:szCs w:val="24"/>
    </w:rPr>
  </w:style>
  <w:style w:type="paragraph" w:customStyle="1" w:styleId="body2indt">
    <w:name w:val="body2indt"/>
    <w:basedOn w:val="Normal"/>
    <w:rsid w:val="004F15AC"/>
    <w:pPr>
      <w:spacing w:before="100" w:beforeAutospacing="1" w:after="100" w:afterAutospacing="1" w:line="240" w:lineRule="auto"/>
    </w:pPr>
    <w:rPr>
      <w:rFonts w:ascii="Times New Roman" w:eastAsia="Times New Roman" w:hAnsi="Times New Roman"/>
      <w:sz w:val="24"/>
      <w:szCs w:val="24"/>
    </w:rPr>
  </w:style>
  <w:style w:type="paragraph" w:customStyle="1" w:styleId="t2italics">
    <w:name w:val="t2italics"/>
    <w:basedOn w:val="Normal"/>
    <w:rsid w:val="004F15AC"/>
    <w:pPr>
      <w:spacing w:before="100" w:beforeAutospacing="1" w:after="100" w:afterAutospacing="1" w:line="240" w:lineRule="auto"/>
    </w:pPr>
    <w:rPr>
      <w:rFonts w:ascii="Times New Roman" w:eastAsia="Times New Roman" w:hAnsi="Times New Roman"/>
      <w:sz w:val="24"/>
      <w:szCs w:val="24"/>
    </w:rPr>
  </w:style>
  <w:style w:type="character" w:customStyle="1" w:styleId="grame">
    <w:name w:val="grame"/>
    <w:rsid w:val="004F15AC"/>
  </w:style>
  <w:style w:type="paragraph" w:styleId="Header">
    <w:name w:val="header"/>
    <w:basedOn w:val="Normal"/>
    <w:link w:val="HeaderChar"/>
    <w:uiPriority w:val="99"/>
    <w:semiHidden/>
    <w:unhideWhenUsed/>
    <w:rsid w:val="004F15AC"/>
    <w:pPr>
      <w:tabs>
        <w:tab w:val="center" w:pos="4680"/>
        <w:tab w:val="right" w:pos="9360"/>
      </w:tabs>
    </w:pPr>
  </w:style>
  <w:style w:type="character" w:customStyle="1" w:styleId="HeaderChar">
    <w:name w:val="Header Char"/>
    <w:basedOn w:val="DefaultParagraphFont"/>
    <w:link w:val="Header"/>
    <w:uiPriority w:val="99"/>
    <w:semiHidden/>
    <w:rsid w:val="004F15AC"/>
    <w:rPr>
      <w:rFonts w:ascii="Calibri" w:eastAsia="Calibri" w:hAnsi="Calibri" w:cs="Times New Roman"/>
    </w:rPr>
  </w:style>
  <w:style w:type="paragraph" w:styleId="BalloonText">
    <w:name w:val="Balloon Text"/>
    <w:basedOn w:val="Normal"/>
    <w:link w:val="BalloonTextChar"/>
    <w:uiPriority w:val="99"/>
    <w:semiHidden/>
    <w:unhideWhenUsed/>
    <w:rsid w:val="004F15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5AC"/>
    <w:rPr>
      <w:rFonts w:ascii="Tahoma" w:eastAsia="Calibri" w:hAnsi="Tahoma" w:cs="Tahoma"/>
      <w:sz w:val="16"/>
      <w:szCs w:val="16"/>
    </w:rPr>
  </w:style>
  <w:style w:type="paragraph" w:styleId="NoSpacing">
    <w:name w:val="No Spacing"/>
    <w:uiPriority w:val="1"/>
    <w:qFormat/>
    <w:rsid w:val="002A439B"/>
    <w:pPr>
      <w:spacing w:after="0" w:line="240" w:lineRule="auto"/>
    </w:pPr>
    <w:rPr>
      <w:rFonts w:ascii="Calibri" w:eastAsia="Calibri" w:hAnsi="Calibri" w:cs="Times New Roman"/>
    </w:rPr>
  </w:style>
  <w:style w:type="paragraph" w:styleId="Footer">
    <w:name w:val="footer"/>
    <w:basedOn w:val="Normal"/>
    <w:link w:val="FooterChar"/>
    <w:uiPriority w:val="99"/>
    <w:semiHidden/>
    <w:unhideWhenUsed/>
    <w:rsid w:val="0039724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97241"/>
    <w:rPr>
      <w:rFonts w:ascii="Calibri" w:eastAsia="Calibri" w:hAnsi="Calibri" w:cs="Times New Roman"/>
    </w:rPr>
  </w:style>
  <w:style w:type="table" w:styleId="TableGrid">
    <w:name w:val="Table Grid"/>
    <w:basedOn w:val="TableNormal"/>
    <w:uiPriority w:val="59"/>
    <w:rsid w:val="00F1406F"/>
    <w:pPr>
      <w:spacing w:after="0" w:line="240" w:lineRule="auto"/>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6</Pages>
  <Words>1230</Words>
  <Characters>7012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Windows User</cp:lastModifiedBy>
  <cp:revision>11</cp:revision>
  <dcterms:created xsi:type="dcterms:W3CDTF">2015-11-21T09:44:00Z</dcterms:created>
  <dcterms:modified xsi:type="dcterms:W3CDTF">2021-06-24T20:37:00Z</dcterms:modified>
</cp:coreProperties>
</file>