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E04" w:rsidRDefault="00E738A9" w:rsidP="00EF4813">
      <w:pPr>
        <w:spacing w:before="240" w:after="0"/>
        <w:jc w:val="center"/>
        <w:rPr>
          <w:rFonts w:ascii="Verdana" w:eastAsia="Times New Roman" w:hAnsi="Verdana" w:cs="Verdana"/>
          <w:b/>
          <w:bCs/>
          <w:sz w:val="28"/>
          <w:szCs w:val="28"/>
        </w:rPr>
      </w:pPr>
      <w:r>
        <w:rPr>
          <w:rFonts w:ascii="Verdana" w:eastAsia="Times New Roman" w:hAnsi="Verdana" w:cs="Verdana"/>
          <w:b/>
          <w:bCs/>
          <w:sz w:val="28"/>
          <w:szCs w:val="28"/>
        </w:rPr>
        <w:t>UNIVERSITY OF ILORIN TEACHING HOSPITAL</w:t>
      </w:r>
    </w:p>
    <w:p w:rsidR="00CC4E04" w:rsidRDefault="00E738A9" w:rsidP="00EF4813">
      <w:pPr>
        <w:spacing w:before="240" w:after="0"/>
        <w:jc w:val="center"/>
        <w:rPr>
          <w:rFonts w:ascii="Verdana" w:eastAsia="Times New Roman" w:hAnsi="Verdana" w:cs="Verdana"/>
          <w:b/>
          <w:bCs/>
          <w:sz w:val="28"/>
          <w:szCs w:val="28"/>
        </w:rPr>
      </w:pPr>
      <w:r>
        <w:rPr>
          <w:rFonts w:ascii="Verdana" w:eastAsia="Times New Roman" w:hAnsi="Verdana" w:cs="Verdana"/>
          <w:b/>
          <w:bCs/>
          <w:sz w:val="28"/>
          <w:szCs w:val="28"/>
          <w:lang w:val="en-GB"/>
        </w:rPr>
        <w:t>V</w:t>
      </w:r>
    </w:p>
    <w:p w:rsidR="00CC4E04" w:rsidRDefault="00E738A9" w:rsidP="00EF4813">
      <w:pPr>
        <w:spacing w:before="240" w:after="0"/>
        <w:jc w:val="center"/>
        <w:rPr>
          <w:rFonts w:ascii="Verdana" w:eastAsia="Times New Roman" w:hAnsi="Verdana" w:cs="Verdana"/>
          <w:sz w:val="28"/>
          <w:szCs w:val="28"/>
        </w:rPr>
      </w:pPr>
      <w:r>
        <w:rPr>
          <w:rFonts w:ascii="Verdana" w:eastAsia="Times New Roman" w:hAnsi="Verdana" w:cs="Verdana"/>
          <w:b/>
          <w:bCs/>
          <w:sz w:val="28"/>
          <w:szCs w:val="28"/>
        </w:rPr>
        <w:t>MRS. THERESA AKILO</w:t>
      </w:r>
    </w:p>
    <w:p w:rsidR="00CC4E04" w:rsidRPr="008F163C" w:rsidRDefault="008F163C" w:rsidP="00EF4813">
      <w:pPr>
        <w:spacing w:before="240" w:after="0"/>
        <w:jc w:val="center"/>
        <w:rPr>
          <w:rFonts w:ascii="Verdana" w:eastAsia="Times New Roman" w:hAnsi="Verdana" w:cs="Verdana"/>
        </w:rPr>
      </w:pPr>
      <w:r w:rsidRPr="008F163C">
        <w:rPr>
          <w:rFonts w:ascii="Verdana" w:eastAsia="Times New Roman" w:hAnsi="Verdana" w:cs="Verdana"/>
          <w:bCs/>
        </w:rPr>
        <w:t>COURT OF APPEAL</w:t>
      </w:r>
      <w:r>
        <w:rPr>
          <w:rFonts w:ascii="Verdana" w:eastAsia="Times New Roman" w:hAnsi="Verdana" w:cs="Verdana"/>
          <w:bCs/>
        </w:rPr>
        <w:t xml:space="preserve">, </w:t>
      </w:r>
      <w:r w:rsidRPr="008F163C">
        <w:rPr>
          <w:rFonts w:ascii="Verdana" w:eastAsia="Times New Roman" w:hAnsi="Verdana" w:cs="Verdana"/>
          <w:bCs/>
        </w:rPr>
        <w:t>ILORIN DIVISION</w:t>
      </w:r>
    </w:p>
    <w:p w:rsidR="00CC4E04" w:rsidRDefault="008F163C" w:rsidP="00EF4813">
      <w:pPr>
        <w:spacing w:before="240" w:after="0"/>
        <w:jc w:val="center"/>
        <w:rPr>
          <w:rFonts w:ascii="Verdana" w:eastAsia="Times New Roman" w:hAnsi="Verdana" w:cs="Verdana"/>
          <w:bCs/>
        </w:rPr>
      </w:pPr>
      <w:r w:rsidRPr="008F163C">
        <w:rPr>
          <w:rFonts w:ascii="Verdana" w:eastAsia="Times New Roman" w:hAnsi="Verdana" w:cs="Verdana"/>
          <w:bCs/>
        </w:rPr>
        <w:t>3RD JULY</w:t>
      </w:r>
      <w:r>
        <w:rPr>
          <w:rFonts w:ascii="Verdana" w:eastAsia="Times New Roman" w:hAnsi="Verdana" w:cs="Verdana"/>
          <w:bCs/>
        </w:rPr>
        <w:t xml:space="preserve">, </w:t>
      </w:r>
      <w:r w:rsidR="00CF6C28">
        <w:rPr>
          <w:rFonts w:ascii="Verdana" w:eastAsia="Times New Roman" w:hAnsi="Verdana" w:cs="Verdana"/>
          <w:bCs/>
        </w:rPr>
        <w:t>2000</w:t>
      </w:r>
    </w:p>
    <w:p w:rsidR="00976F2D" w:rsidRPr="00976F2D" w:rsidRDefault="00976F2D" w:rsidP="00EF4813">
      <w:pPr>
        <w:spacing w:before="240" w:after="0"/>
        <w:jc w:val="center"/>
        <w:rPr>
          <w:rFonts w:ascii="Verdana" w:eastAsia="Times New Roman" w:hAnsi="Verdana" w:cs="Verdana"/>
        </w:rPr>
      </w:pPr>
      <w:r w:rsidRPr="008F163C">
        <w:rPr>
          <w:rFonts w:ascii="Verdana" w:eastAsia="Times New Roman" w:hAnsi="Verdana" w:cs="Verdana"/>
          <w:bCs/>
        </w:rPr>
        <w:t>CA/IL/6/2000</w:t>
      </w:r>
    </w:p>
    <w:p w:rsidR="00976F2D" w:rsidRPr="00976F2D" w:rsidRDefault="00976F2D" w:rsidP="00976F2D">
      <w:pPr>
        <w:spacing w:before="240" w:after="0"/>
        <w:jc w:val="center"/>
        <w:rPr>
          <w:rFonts w:ascii="Verdana" w:eastAsia="Times New Roman" w:hAnsi="Verdana" w:cs="Verdana"/>
          <w:b/>
        </w:rPr>
      </w:pPr>
      <w:r>
        <w:rPr>
          <w:rFonts w:ascii="Verdana" w:eastAsia="Times New Roman" w:hAnsi="Verdana" w:cs="Verdana"/>
          <w:b/>
          <w:bCs/>
        </w:rPr>
        <w:t xml:space="preserve">LEX (2000) - </w:t>
      </w:r>
      <w:r w:rsidRPr="00976F2D">
        <w:rPr>
          <w:rFonts w:ascii="Verdana" w:eastAsia="Times New Roman" w:hAnsi="Verdana" w:cs="Verdana"/>
          <w:b/>
          <w:bCs/>
        </w:rPr>
        <w:t>CA/IL/6/2000</w:t>
      </w:r>
    </w:p>
    <w:p w:rsidR="009755D4" w:rsidRDefault="009755D4" w:rsidP="00EF4813">
      <w:pPr>
        <w:spacing w:before="240" w:after="0"/>
        <w:jc w:val="center"/>
        <w:rPr>
          <w:rFonts w:ascii="Verdana" w:eastAsia="Times New Roman" w:hAnsi="Verdana" w:cs="Verdana"/>
          <w:bCs/>
        </w:rPr>
      </w:pPr>
    </w:p>
    <w:p w:rsidR="009755D4" w:rsidRPr="008F163C" w:rsidRDefault="009755D4" w:rsidP="00EF4813">
      <w:pPr>
        <w:spacing w:before="240" w:after="0"/>
        <w:jc w:val="center"/>
        <w:rPr>
          <w:rFonts w:ascii="Verdana" w:eastAsia="Times New Roman" w:hAnsi="Verdana" w:cs="Verdana"/>
        </w:rPr>
      </w:pPr>
    </w:p>
    <w:p w:rsidR="008F163C" w:rsidRDefault="008F163C" w:rsidP="00EF4813">
      <w:pPr>
        <w:spacing w:before="240" w:after="0"/>
        <w:jc w:val="right"/>
        <w:rPr>
          <w:rFonts w:ascii="Verdana" w:eastAsia="Times New Roman" w:hAnsi="Verdana"/>
          <w:b/>
          <w:color w:val="000000"/>
          <w:lang w:eastAsia="en-GB"/>
        </w:rPr>
      </w:pPr>
    </w:p>
    <w:p w:rsidR="00CF6C28" w:rsidRPr="00CF6C28" w:rsidRDefault="00E738A9" w:rsidP="00CF6C28">
      <w:pPr>
        <w:spacing w:after="0"/>
        <w:jc w:val="right"/>
        <w:rPr>
          <w:rFonts w:ascii="Verdana" w:eastAsia="Times New Roman" w:hAnsi="Verdana"/>
          <w:color w:val="000000" w:themeColor="text1"/>
          <w:sz w:val="20"/>
          <w:szCs w:val="20"/>
          <w:lang w:eastAsia="en-GB"/>
        </w:rPr>
      </w:pPr>
      <w:r w:rsidRPr="00CF6C28">
        <w:rPr>
          <w:rFonts w:ascii="Verdana" w:eastAsia="Times New Roman" w:hAnsi="Verdana"/>
          <w:color w:val="000000" w:themeColor="text1"/>
          <w:sz w:val="20"/>
          <w:szCs w:val="20"/>
          <w:lang w:eastAsia="en-GB"/>
        </w:rPr>
        <w:t>OTHER CITATIONS</w:t>
      </w:r>
    </w:p>
    <w:p w:rsidR="00CF6C28" w:rsidRPr="00CF6C28" w:rsidRDefault="00CF6C28" w:rsidP="00CF6C28">
      <w:pPr>
        <w:spacing w:after="0"/>
        <w:jc w:val="right"/>
        <w:rPr>
          <w:rFonts w:ascii="Verdana" w:eastAsia="Times New Roman" w:hAnsi="Verdana" w:cs="Verdana"/>
          <w:bCs/>
          <w:sz w:val="20"/>
          <w:szCs w:val="20"/>
        </w:rPr>
      </w:pPr>
      <w:r w:rsidRPr="00CF6C28">
        <w:rPr>
          <w:rFonts w:ascii="Verdana" w:eastAsia="Times New Roman" w:hAnsi="Verdana"/>
          <w:color w:val="262626" w:themeColor="text1" w:themeTint="D9"/>
          <w:sz w:val="20"/>
          <w:szCs w:val="20"/>
          <w:lang w:eastAsia="en-GB"/>
        </w:rPr>
        <w:t>2PLR/2000/174 (CA)</w:t>
      </w:r>
    </w:p>
    <w:p w:rsidR="00C86DEC" w:rsidRPr="00CF6C28" w:rsidRDefault="00C86DEC" w:rsidP="00EF4813">
      <w:pPr>
        <w:spacing w:after="0"/>
        <w:jc w:val="right"/>
        <w:rPr>
          <w:rFonts w:ascii="Verdana" w:eastAsia="Times New Roman" w:hAnsi="Verdana"/>
          <w:b/>
          <w:color w:val="000000" w:themeColor="text1"/>
          <w:sz w:val="20"/>
          <w:szCs w:val="20"/>
          <w:lang w:eastAsia="en-GB"/>
        </w:rPr>
      </w:pPr>
      <w:r w:rsidRPr="00CF6C28">
        <w:rPr>
          <w:rFonts w:ascii="Verdana" w:hAnsi="Verdana" w:cs="Arial"/>
          <w:color w:val="000000" w:themeColor="text1"/>
          <w:sz w:val="20"/>
          <w:szCs w:val="20"/>
          <w:shd w:val="clear" w:color="auto" w:fill="FFFFFF"/>
        </w:rPr>
        <w:t>[2000] 22 WRN 117</w:t>
      </w:r>
    </w:p>
    <w:p w:rsidR="00CC4E04" w:rsidRPr="00CF6C28" w:rsidRDefault="00E738A9" w:rsidP="00CF6C28">
      <w:pPr>
        <w:pStyle w:val="t1cntr"/>
        <w:spacing w:before="240" w:beforeAutospacing="0" w:after="0" w:afterAutospacing="0" w:line="276" w:lineRule="auto"/>
        <w:jc w:val="both"/>
        <w:rPr>
          <w:rFonts w:ascii="Verdana" w:hAnsi="Verdana"/>
          <w:b/>
          <w:sz w:val="22"/>
          <w:szCs w:val="22"/>
        </w:rPr>
      </w:pPr>
      <w:r w:rsidRPr="00CF6C28">
        <w:rPr>
          <w:rFonts w:ascii="Verdana" w:hAnsi="Verdana"/>
          <w:b/>
          <w:bCs/>
          <w:sz w:val="22"/>
          <w:szCs w:val="22"/>
        </w:rPr>
        <w:t>BEFORE THEIR LORDSHIPS</w:t>
      </w:r>
    </w:p>
    <w:p w:rsidR="00CC4E04" w:rsidRPr="00CF6C28" w:rsidRDefault="00E738A9" w:rsidP="00CF6C28">
      <w:pPr>
        <w:spacing w:before="240" w:after="0"/>
        <w:jc w:val="both"/>
        <w:rPr>
          <w:rFonts w:ascii="Verdana" w:eastAsia="Times New Roman" w:hAnsi="Verdana" w:cs="Verdana"/>
        </w:rPr>
      </w:pPr>
      <w:r w:rsidRPr="00CF6C28">
        <w:rPr>
          <w:rFonts w:ascii="Verdana" w:eastAsia="Times New Roman" w:hAnsi="Verdana" w:cs="Verdana"/>
        </w:rPr>
        <w:t>MURITALA AREMU OKUNOLA</w:t>
      </w:r>
      <w:r w:rsidRPr="00CF6C28">
        <w:rPr>
          <w:rFonts w:ascii="Verdana" w:eastAsia="Times New Roman" w:hAnsi="Verdana" w:cs="Verdana"/>
          <w:lang w:val="en-GB"/>
        </w:rPr>
        <w:t xml:space="preserve">, </w:t>
      </w:r>
      <w:r w:rsidRPr="00CF6C28">
        <w:rPr>
          <w:rFonts w:ascii="Verdana" w:eastAsia="Times New Roman" w:hAnsi="Verdana" w:cs="Verdana"/>
        </w:rPr>
        <w:t>J</w:t>
      </w:r>
      <w:r w:rsidR="00CF6C28" w:rsidRPr="00CF6C28">
        <w:rPr>
          <w:rFonts w:ascii="Verdana" w:eastAsia="Times New Roman" w:hAnsi="Verdana" w:cs="Verdana"/>
        </w:rPr>
        <w:t>.C.A</w:t>
      </w:r>
    </w:p>
    <w:p w:rsidR="00CC4E04" w:rsidRPr="00CF6C28" w:rsidRDefault="00E738A9" w:rsidP="00CF6C28">
      <w:pPr>
        <w:spacing w:before="240" w:after="0"/>
        <w:jc w:val="both"/>
        <w:rPr>
          <w:rFonts w:ascii="Verdana" w:eastAsia="Times New Roman" w:hAnsi="Verdana" w:cs="Verdana"/>
        </w:rPr>
      </w:pPr>
      <w:r w:rsidRPr="00CF6C28">
        <w:rPr>
          <w:rFonts w:ascii="Verdana" w:eastAsia="Times New Roman" w:hAnsi="Verdana" w:cs="Verdana"/>
        </w:rPr>
        <w:t>PATRICK IBE AMAIZU</w:t>
      </w:r>
      <w:r w:rsidRPr="00CF6C28">
        <w:rPr>
          <w:rFonts w:ascii="Verdana" w:eastAsia="Times New Roman" w:hAnsi="Verdana" w:cs="Verdana"/>
          <w:lang w:val="en-GB"/>
        </w:rPr>
        <w:t xml:space="preserve">, </w:t>
      </w:r>
      <w:r w:rsidRPr="00CF6C28">
        <w:rPr>
          <w:rFonts w:ascii="Verdana" w:eastAsia="Times New Roman" w:hAnsi="Verdana" w:cs="Verdana"/>
        </w:rPr>
        <w:t>J</w:t>
      </w:r>
      <w:r w:rsidR="00CF6C28" w:rsidRPr="00CF6C28">
        <w:rPr>
          <w:rFonts w:ascii="Verdana" w:eastAsia="Times New Roman" w:hAnsi="Verdana" w:cs="Verdana"/>
        </w:rPr>
        <w:t>.C.A</w:t>
      </w:r>
    </w:p>
    <w:p w:rsidR="00CC4E04" w:rsidRPr="00CF6C28" w:rsidRDefault="00E738A9" w:rsidP="00CF6C28">
      <w:pPr>
        <w:spacing w:before="240" w:after="0"/>
        <w:jc w:val="both"/>
        <w:rPr>
          <w:rFonts w:ascii="Verdana" w:eastAsia="Times New Roman" w:hAnsi="Verdana" w:cs="Verdana"/>
        </w:rPr>
      </w:pPr>
      <w:r w:rsidRPr="00CF6C28">
        <w:rPr>
          <w:rFonts w:ascii="Verdana" w:eastAsia="Times New Roman" w:hAnsi="Verdana" w:cs="Verdana"/>
        </w:rPr>
        <w:t>WALTER SAMUEL NKANU ONNOGHEN</w:t>
      </w:r>
      <w:r w:rsidRPr="00CF6C28">
        <w:rPr>
          <w:rFonts w:ascii="Verdana" w:eastAsia="Times New Roman" w:hAnsi="Verdana" w:cs="Verdana"/>
          <w:lang w:val="en-GB"/>
        </w:rPr>
        <w:t xml:space="preserve">, </w:t>
      </w:r>
      <w:r w:rsidRPr="00CF6C28">
        <w:rPr>
          <w:rFonts w:ascii="Verdana" w:eastAsia="Times New Roman" w:hAnsi="Verdana" w:cs="Verdana"/>
        </w:rPr>
        <w:t>J</w:t>
      </w:r>
      <w:r w:rsidR="00CF6C28" w:rsidRPr="00CF6C28">
        <w:rPr>
          <w:rFonts w:ascii="Verdana" w:eastAsia="Times New Roman" w:hAnsi="Verdana" w:cs="Verdana"/>
        </w:rPr>
        <w:t xml:space="preserve">.C.A </w:t>
      </w:r>
    </w:p>
    <w:p w:rsidR="00CC4E04" w:rsidRPr="00CF6C28" w:rsidRDefault="00CC4E04" w:rsidP="00CF6C28">
      <w:pPr>
        <w:widowControl w:val="0"/>
        <w:adjustRightInd w:val="0"/>
        <w:spacing w:before="240" w:after="0"/>
        <w:jc w:val="both"/>
        <w:rPr>
          <w:rFonts w:ascii="Verdana" w:eastAsia="Times New Roman" w:hAnsi="Verdana"/>
          <w:b/>
          <w:bCs/>
        </w:rPr>
      </w:pPr>
    </w:p>
    <w:p w:rsidR="00CC4E04" w:rsidRPr="00CF6C28" w:rsidRDefault="00E738A9" w:rsidP="00CF6C28">
      <w:pPr>
        <w:spacing w:before="240" w:after="0"/>
        <w:jc w:val="both"/>
        <w:rPr>
          <w:rFonts w:ascii="Verdana" w:eastAsia="Times New Roman" w:hAnsi="Verdana" w:cs="Verdana"/>
          <w:b/>
          <w:bCs/>
        </w:rPr>
      </w:pPr>
      <w:r w:rsidRPr="00CF6C28">
        <w:rPr>
          <w:rFonts w:ascii="Verdana" w:eastAsia="Times New Roman" w:hAnsi="Verdana" w:cs="Verdana"/>
          <w:b/>
          <w:bCs/>
        </w:rPr>
        <w:lastRenderedPageBreak/>
        <w:t>BETWEEN</w:t>
      </w:r>
    </w:p>
    <w:p w:rsidR="00CC4E04" w:rsidRPr="00CF6C28" w:rsidRDefault="00EF4813" w:rsidP="00CF6C28">
      <w:pPr>
        <w:spacing w:before="240" w:after="0"/>
        <w:jc w:val="both"/>
        <w:rPr>
          <w:rFonts w:ascii="Verdana" w:eastAsia="Times New Roman" w:hAnsi="Verdana" w:cs="Verdana"/>
        </w:rPr>
      </w:pPr>
      <w:proofErr w:type="gramStart"/>
      <w:r w:rsidRPr="00CF6C28">
        <w:rPr>
          <w:rFonts w:ascii="Verdana" w:eastAsia="Times New Roman" w:hAnsi="Verdana" w:cs="Verdana"/>
          <w:lang w:val="en-GB"/>
        </w:rPr>
        <w:t>1.</w:t>
      </w:r>
      <w:r w:rsidRPr="00CF6C28">
        <w:rPr>
          <w:rFonts w:ascii="Verdana" w:eastAsia="Times New Roman" w:hAnsi="Verdana" w:cs="Verdana"/>
          <w:lang w:val="en-GB"/>
        </w:rPr>
        <w:tab/>
      </w:r>
      <w:r w:rsidR="00E738A9" w:rsidRPr="00CF6C28">
        <w:rPr>
          <w:rFonts w:ascii="Verdana" w:eastAsia="Times New Roman" w:hAnsi="Verdana" w:cs="Verdana"/>
        </w:rPr>
        <w:t>UNIVERSITY OF ILORIN</w:t>
      </w:r>
      <w:proofErr w:type="gramEnd"/>
      <w:r w:rsidR="00E738A9" w:rsidRPr="00CF6C28">
        <w:rPr>
          <w:rFonts w:ascii="Verdana" w:eastAsia="Times New Roman" w:hAnsi="Verdana" w:cs="Verdana"/>
        </w:rPr>
        <w:t xml:space="preserve"> TEACHING HOSPITAL </w:t>
      </w:r>
    </w:p>
    <w:p w:rsidR="00CC4E04" w:rsidRPr="00CF6C28" w:rsidRDefault="00E738A9" w:rsidP="00CF6C28">
      <w:pPr>
        <w:spacing w:before="240" w:after="0"/>
        <w:jc w:val="both"/>
        <w:rPr>
          <w:rFonts w:ascii="Verdana" w:eastAsia="Times New Roman" w:hAnsi="Verdana" w:cs="Verdana"/>
        </w:rPr>
      </w:pPr>
      <w:proofErr w:type="gramStart"/>
      <w:r w:rsidRPr="00CF6C28">
        <w:rPr>
          <w:rFonts w:ascii="Verdana" w:eastAsia="Times New Roman" w:hAnsi="Verdana" w:cs="Verdana"/>
        </w:rPr>
        <w:t>2.  </w:t>
      </w:r>
      <w:r w:rsidR="00EF4813" w:rsidRPr="00CF6C28">
        <w:rPr>
          <w:rFonts w:ascii="Verdana" w:eastAsia="Times New Roman" w:hAnsi="Verdana" w:cs="Verdana"/>
        </w:rPr>
        <w:tab/>
      </w:r>
      <w:r w:rsidRPr="00CF6C28">
        <w:rPr>
          <w:rFonts w:ascii="Verdana" w:eastAsia="Times New Roman" w:hAnsi="Verdana" w:cs="Verdana"/>
        </w:rPr>
        <w:t>UNIVERSITY OF ILORIN</w:t>
      </w:r>
      <w:proofErr w:type="gramEnd"/>
      <w:r w:rsidRPr="00CF6C28">
        <w:rPr>
          <w:rFonts w:ascii="Verdana" w:eastAsia="Times New Roman" w:hAnsi="Verdana" w:cs="Verdana"/>
        </w:rPr>
        <w:t xml:space="preserve"> TEA</w:t>
      </w:r>
      <w:r w:rsidR="00CF6C28">
        <w:rPr>
          <w:rFonts w:ascii="Verdana" w:eastAsia="Times New Roman" w:hAnsi="Verdana" w:cs="Verdana"/>
        </w:rPr>
        <w:t xml:space="preserve">CHING HOSPITAL MANAGEMENT BOARD – Appellants </w:t>
      </w:r>
    </w:p>
    <w:p w:rsidR="00CC4E04" w:rsidRPr="00CF6C28" w:rsidRDefault="00E738A9" w:rsidP="00CF6C28">
      <w:pPr>
        <w:spacing w:before="240" w:after="0"/>
        <w:jc w:val="both"/>
        <w:rPr>
          <w:rFonts w:ascii="Verdana" w:eastAsia="Times New Roman" w:hAnsi="Verdana" w:cs="Verdana"/>
          <w:bCs/>
        </w:rPr>
      </w:pPr>
      <w:r w:rsidRPr="00CF6C28">
        <w:rPr>
          <w:rFonts w:ascii="Verdana" w:eastAsia="Times New Roman" w:hAnsi="Verdana" w:cs="Verdana"/>
          <w:bCs/>
        </w:rPr>
        <w:t>AND</w:t>
      </w:r>
    </w:p>
    <w:p w:rsidR="00CC4E04" w:rsidRPr="00CF6C28" w:rsidRDefault="00E738A9" w:rsidP="00CF6C28">
      <w:pPr>
        <w:spacing w:before="240" w:after="0"/>
        <w:jc w:val="both"/>
        <w:rPr>
          <w:rFonts w:ascii="Verdana" w:eastAsia="Times New Roman" w:hAnsi="Verdana" w:cs="Verdana"/>
        </w:rPr>
      </w:pPr>
      <w:r w:rsidRPr="00CF6C28">
        <w:rPr>
          <w:rFonts w:ascii="Verdana" w:eastAsia="Times New Roman" w:hAnsi="Verdana" w:cs="Verdana"/>
        </w:rPr>
        <w:t>MRS. THERESA AKILO</w:t>
      </w:r>
      <w:r w:rsidR="00CF6C28">
        <w:rPr>
          <w:rFonts w:ascii="Verdana" w:eastAsia="Times New Roman" w:hAnsi="Verdana" w:cs="Verdana"/>
        </w:rPr>
        <w:t xml:space="preserve"> – Respondent </w:t>
      </w:r>
    </w:p>
    <w:p w:rsidR="00EF4813" w:rsidRPr="00CF6C28" w:rsidRDefault="00EF4813" w:rsidP="00CF6C28">
      <w:pPr>
        <w:widowControl w:val="0"/>
        <w:adjustRightInd w:val="0"/>
        <w:spacing w:before="240" w:after="0"/>
        <w:jc w:val="both"/>
        <w:rPr>
          <w:rFonts w:ascii="Verdana" w:eastAsia="Times New Roman" w:hAnsi="Verdana"/>
          <w:b/>
          <w:bCs/>
        </w:rPr>
      </w:pPr>
    </w:p>
    <w:p w:rsidR="00CF6C28" w:rsidRDefault="00CF6C28" w:rsidP="00CF6C28">
      <w:pPr>
        <w:widowControl w:val="0"/>
        <w:adjustRightInd w:val="0"/>
        <w:spacing w:before="240" w:after="0"/>
        <w:jc w:val="both"/>
        <w:rPr>
          <w:rFonts w:ascii="Verdana" w:eastAsia="Times New Roman" w:hAnsi="Verdana"/>
          <w:b/>
          <w:bCs/>
        </w:rPr>
      </w:pPr>
      <w:r>
        <w:rPr>
          <w:rFonts w:ascii="Verdana" w:eastAsia="Times New Roman" w:hAnsi="Verdana"/>
          <w:b/>
          <w:bCs/>
        </w:rPr>
        <w:t xml:space="preserve">ORIGINATING COURT </w:t>
      </w:r>
    </w:p>
    <w:p w:rsidR="00CF6C28" w:rsidRDefault="00CF6C28" w:rsidP="00CF6C28">
      <w:pPr>
        <w:widowControl w:val="0"/>
        <w:adjustRightInd w:val="0"/>
        <w:spacing w:before="240" w:after="0"/>
        <w:jc w:val="both"/>
        <w:rPr>
          <w:rFonts w:ascii="Verdana" w:eastAsia="Times New Roman" w:hAnsi="Verdana"/>
          <w:b/>
          <w:bCs/>
        </w:rPr>
      </w:pPr>
      <w:r>
        <w:rPr>
          <w:rFonts w:ascii="Verdana" w:eastAsia="Times New Roman" w:hAnsi="Verdana" w:cs="Verdana"/>
        </w:rPr>
        <w:t>KWARA STATE HIGH COURT, ILORIN DIVISION (</w:t>
      </w:r>
      <w:proofErr w:type="spellStart"/>
      <w:r>
        <w:rPr>
          <w:rFonts w:ascii="Verdana" w:eastAsia="Times New Roman" w:hAnsi="Verdana" w:cs="Verdana"/>
        </w:rPr>
        <w:t>Gbadeyan</w:t>
      </w:r>
      <w:proofErr w:type="spellEnd"/>
      <w:r>
        <w:rPr>
          <w:rFonts w:ascii="Verdana" w:eastAsia="Times New Roman" w:hAnsi="Verdana" w:cs="Verdana"/>
        </w:rPr>
        <w:t xml:space="preserve"> J., Presiding)</w:t>
      </w:r>
    </w:p>
    <w:p w:rsidR="00CF6C28" w:rsidRDefault="00CF6C28" w:rsidP="00CF6C28">
      <w:pPr>
        <w:widowControl w:val="0"/>
        <w:adjustRightInd w:val="0"/>
        <w:spacing w:before="240" w:after="0"/>
        <w:jc w:val="both"/>
        <w:rPr>
          <w:rFonts w:ascii="Verdana" w:eastAsia="Times New Roman" w:hAnsi="Verdana"/>
          <w:b/>
          <w:bCs/>
        </w:rPr>
      </w:pPr>
    </w:p>
    <w:p w:rsidR="00CC4E04" w:rsidRPr="00CF6C28" w:rsidRDefault="00E738A9" w:rsidP="00CF6C28">
      <w:pPr>
        <w:widowControl w:val="0"/>
        <w:adjustRightInd w:val="0"/>
        <w:spacing w:before="240" w:after="0"/>
        <w:jc w:val="both"/>
        <w:rPr>
          <w:rFonts w:ascii="Times New Roman" w:eastAsia="Times New Roman" w:hAnsi="Times New Roman"/>
        </w:rPr>
      </w:pPr>
      <w:r w:rsidRPr="00CF6C28">
        <w:rPr>
          <w:rFonts w:ascii="Verdana" w:eastAsia="Times New Roman" w:hAnsi="Verdana"/>
          <w:b/>
          <w:bCs/>
        </w:rPr>
        <w:t>REPRESENTATION</w:t>
      </w:r>
    </w:p>
    <w:p w:rsidR="00CC4E04" w:rsidRPr="00CF6C28" w:rsidRDefault="00E738A9" w:rsidP="00CF6C28">
      <w:pPr>
        <w:spacing w:before="240" w:after="0"/>
        <w:jc w:val="both"/>
        <w:rPr>
          <w:rFonts w:ascii="Verdana" w:eastAsia="Times New Roman" w:hAnsi="Verdana" w:cs="Verdana"/>
        </w:rPr>
      </w:pPr>
      <w:r w:rsidRPr="00CF6C28">
        <w:rPr>
          <w:rFonts w:ascii="Verdana" w:eastAsia="Times New Roman" w:hAnsi="Verdana" w:cs="Verdana"/>
        </w:rPr>
        <w:t xml:space="preserve">K.I. </w:t>
      </w:r>
      <w:r w:rsidR="00CF6C28" w:rsidRPr="00CF6C28">
        <w:rPr>
          <w:rFonts w:ascii="Verdana" w:eastAsia="Times New Roman" w:hAnsi="Verdana" w:cs="Verdana"/>
        </w:rPr>
        <w:t>ADAM</w:t>
      </w:r>
      <w:r w:rsidRPr="00CF6C28">
        <w:rPr>
          <w:rFonts w:ascii="Verdana" w:eastAsia="Times New Roman" w:hAnsi="Verdana" w:cs="Verdana"/>
        </w:rPr>
        <w:t xml:space="preserve"> Esq., for the 1st and 2nd appellants.</w:t>
      </w:r>
    </w:p>
    <w:p w:rsidR="00CC4E04" w:rsidRPr="00CF6C28" w:rsidRDefault="00CF6C28" w:rsidP="00CF6C28">
      <w:pPr>
        <w:spacing w:before="240" w:after="0"/>
        <w:jc w:val="both"/>
        <w:rPr>
          <w:rFonts w:ascii="Verdana" w:eastAsia="Times New Roman" w:hAnsi="Verdana" w:cs="Verdana"/>
        </w:rPr>
      </w:pPr>
      <w:proofErr w:type="gramStart"/>
      <w:r w:rsidRPr="00CF6C28">
        <w:rPr>
          <w:rFonts w:ascii="Verdana" w:eastAsia="Times New Roman" w:hAnsi="Verdana" w:cs="Verdana"/>
        </w:rPr>
        <w:t>DAYO AKINLAJA</w:t>
      </w:r>
      <w:r w:rsidR="00E738A9" w:rsidRPr="00CF6C28">
        <w:rPr>
          <w:rFonts w:ascii="Verdana" w:eastAsia="Times New Roman" w:hAnsi="Verdana" w:cs="Verdana"/>
        </w:rPr>
        <w:t xml:space="preserve"> Esq., for the respondent.</w:t>
      </w:r>
      <w:proofErr w:type="gramEnd"/>
    </w:p>
    <w:p w:rsidR="00CC4E04" w:rsidRPr="00CF6C28" w:rsidRDefault="00CC4E04" w:rsidP="00CF6C28">
      <w:pPr>
        <w:spacing w:before="240" w:after="0"/>
        <w:jc w:val="both"/>
        <w:rPr>
          <w:rFonts w:ascii="Verdana" w:eastAsia="Times New Roman" w:hAnsi="Verdana"/>
        </w:rPr>
      </w:pPr>
    </w:p>
    <w:p w:rsidR="00CC4E04" w:rsidRPr="00CF6C28" w:rsidRDefault="00E738A9" w:rsidP="00CF6C28">
      <w:pPr>
        <w:widowControl w:val="0"/>
        <w:adjustRightInd w:val="0"/>
        <w:spacing w:before="240" w:after="0"/>
        <w:jc w:val="both"/>
        <w:rPr>
          <w:rFonts w:ascii="Verdana" w:eastAsia="Times New Roman" w:hAnsi="Verdana"/>
          <w:b/>
        </w:rPr>
      </w:pPr>
      <w:r w:rsidRPr="00CF6C28">
        <w:rPr>
          <w:rFonts w:ascii="Verdana" w:eastAsia="Times New Roman" w:hAnsi="Verdana"/>
          <w:b/>
        </w:rPr>
        <w:t>ISSUES</w:t>
      </w:r>
      <w:r w:rsidR="00CF6C28" w:rsidRPr="00CF6C28">
        <w:rPr>
          <w:rFonts w:ascii="Verdana" w:eastAsia="Times New Roman" w:hAnsi="Verdana"/>
          <w:b/>
        </w:rPr>
        <w:t xml:space="preserve"> FROM THE CAUSE(S) OF ACTION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TORT AND PERSONAL INJURY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Claim based on tort – Nature of - When deemed to have arisen - Whether duty primarily is one fixed by the law – Breach of duty – Whether </w:t>
      </w:r>
      <w:proofErr w:type="spellStart"/>
      <w:r w:rsidRPr="00CF6C28">
        <w:rPr>
          <w:rFonts w:ascii="Verdana" w:eastAsia="Times New Roman" w:hAnsi="Verdana" w:cs="Verdana"/>
        </w:rPr>
        <w:t>redressible</w:t>
      </w:r>
      <w:proofErr w:type="spellEnd"/>
      <w:r w:rsidRPr="00CF6C28">
        <w:rPr>
          <w:rFonts w:ascii="Verdana" w:eastAsia="Times New Roman" w:hAnsi="Verdana" w:cs="Verdana"/>
        </w:rPr>
        <w:t xml:space="preserve"> by an action for </w:t>
      </w:r>
      <w:proofErr w:type="spellStart"/>
      <w:r w:rsidRPr="00CF6C28">
        <w:rPr>
          <w:rFonts w:ascii="Verdana" w:eastAsia="Times New Roman" w:hAnsi="Verdana" w:cs="Verdana"/>
        </w:rPr>
        <w:t>unliquidated</w:t>
      </w:r>
      <w:proofErr w:type="spellEnd"/>
      <w:r w:rsidRPr="00CF6C28">
        <w:rPr>
          <w:rFonts w:ascii="Verdana" w:eastAsia="Times New Roman" w:hAnsi="Verdana" w:cs="Verdana"/>
        </w:rPr>
        <w:t xml:space="preserve"> damages</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lastRenderedPageBreak/>
        <w:t xml:space="preserve">TORT AND PERSONAL INJURY LAW – VICARIOUS LIABILITY:– Rule that not only is a person liable for torts committed by himself but also, in certain cases, liable for torts committed by persons acting or purporting to act on his behalf - Two important classes of persons for whose tort another person may be liable – How treated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TORT AND PERSONAL INJURY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Medical negligence – Factors considered by court – Liability of doctor in contradistinction from that of Hospital – Doctor employed in public health facility who refers patient to own private clinic – Legal effect in cases of professional liability </w:t>
      </w:r>
    </w:p>
    <w:p w:rsidR="00CF6C28" w:rsidRPr="00CF6C28" w:rsidRDefault="00CF6C28" w:rsidP="00CF6C28">
      <w:pPr>
        <w:autoSpaceDE w:val="0"/>
        <w:autoSpaceDN w:val="0"/>
        <w:adjustRightInd w:val="0"/>
        <w:spacing w:before="240" w:after="0"/>
        <w:jc w:val="both"/>
        <w:rPr>
          <w:rFonts w:ascii="Verdana" w:hAnsi="Verdana"/>
        </w:rPr>
      </w:pPr>
      <w:r w:rsidRPr="00CF6C28">
        <w:rPr>
          <w:rFonts w:ascii="Verdana" w:hAnsi="Verdana"/>
        </w:rPr>
        <w:t xml:space="preserve">CHILDREN AND WOMEN LAW: </w:t>
      </w:r>
      <w:r w:rsidRPr="00CF6C28">
        <w:rPr>
          <w:rFonts w:ascii="Verdana" w:hAnsi="Verdana"/>
          <w:i/>
          <w:lang w:val="en-GB"/>
        </w:rPr>
        <w:t>Women and Healthcare/Justice Administration</w:t>
      </w:r>
      <w:r w:rsidRPr="00CF6C28">
        <w:rPr>
          <w:rFonts w:ascii="Verdana" w:hAnsi="Verdana"/>
          <w:lang w:val="en-GB"/>
        </w:rPr>
        <w:t xml:space="preserve"> – Medical negligence - Woman who sued doctors and their employers for negligent medical care – How treated</w:t>
      </w:r>
    </w:p>
    <w:p w:rsidR="00CF6C28" w:rsidRPr="00CF6C28" w:rsidRDefault="00CF6C28" w:rsidP="00CF6C28">
      <w:pPr>
        <w:spacing w:before="240" w:after="0"/>
        <w:jc w:val="both"/>
        <w:rPr>
          <w:rFonts w:ascii="Verdana" w:eastAsia="Times New Roman" w:hAnsi="Verdana" w:cs="Verdana"/>
        </w:rPr>
      </w:pPr>
      <w:r w:rsidRPr="00CF6C28">
        <w:rPr>
          <w:rFonts w:ascii="Verdana" w:eastAsia="Times New Roman" w:hAnsi="Verdana" w:cs="Verdana"/>
        </w:rPr>
        <w:t>CONSTITUTIONAL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Jurisdiction of state High Court vis a vis Federal High Court – Whether every matter involving a federal body belongs exclusively within the jurisdiction of the Federal High Court – Section 230(1)(q) of the 1979 Constitution of the Federal Republic of Nigeria -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 xml:space="preserve">EMPLOYMENT AND LABOUR LAWS – VICARIOUS LIABILITY:- Classes of persons for whose </w:t>
      </w:r>
      <w:r w:rsidR="00762964">
        <w:rPr>
          <w:rFonts w:ascii="Verdana" w:eastAsia="Times New Roman" w:hAnsi="Verdana" w:cs="Verdana"/>
        </w:rPr>
        <w:t>tortuous wrong</w:t>
      </w:r>
      <w:r w:rsidRPr="00CF6C28">
        <w:rPr>
          <w:rFonts w:ascii="Verdana" w:eastAsia="Times New Roman" w:hAnsi="Verdana" w:cs="Verdana"/>
        </w:rPr>
        <w:t xml:space="preserve"> another </w:t>
      </w:r>
      <w:r w:rsidR="00762964">
        <w:rPr>
          <w:rFonts w:ascii="Verdana" w:eastAsia="Times New Roman" w:hAnsi="Verdana" w:cs="Verdana"/>
        </w:rPr>
        <w:t>party can be deemed</w:t>
      </w:r>
      <w:r w:rsidRPr="00CF6C28">
        <w:rPr>
          <w:rFonts w:ascii="Verdana" w:eastAsia="Times New Roman" w:hAnsi="Verdana" w:cs="Verdana"/>
        </w:rPr>
        <w:t xml:space="preserve"> vicariously liable – Servants and independent contractors - Medical practitioners employed by an institution – Nature of employment and operation - Whether while discharging their duties as medical doctors they are deemed not to be under the control or management of the employee and thus individually liable for any tort they might have committed in the course of discharging such duty – Liability for professional negligence –Relevant considerations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EMPLOYMENT AND LABOUR LAWS</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Servants and independent contractors – Common feature - Distinction between –Whether distinction between them is determined is a question of degree of control exercisable by the employer – Implication for tortuous liability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HEALTHCARE AND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Professional negligence – Doctors employed in public health institution – Court with jurisdiction to hear claim – Nature of liability of doctor and employer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HEALTHCARE AND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Professional negligence – Doctor employed n public health institution who maintains a private clinic – Practice of referring patients in public institution to own private hospital – Alleged negligence arising therefrom – How treated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lastRenderedPageBreak/>
        <w:t>HEALTHCARE AND LAW</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Professional negligence –nature of – When not linked to "administration or the management and control" on the part of a public health institution in contradistinction from its individual doctor – Effect of </w:t>
      </w:r>
    </w:p>
    <w:p w:rsidR="00CF6C28" w:rsidRPr="00CF6C28" w:rsidRDefault="00CF6C28" w:rsidP="00CF6C28">
      <w:pPr>
        <w:spacing w:before="240" w:after="0"/>
        <w:jc w:val="both"/>
        <w:rPr>
          <w:rFonts w:ascii="Verdana" w:eastAsia="Times New Roman" w:hAnsi="Verdana" w:cs="Verdana"/>
          <w:b/>
        </w:rPr>
      </w:pPr>
    </w:p>
    <w:p w:rsidR="00CF6C28" w:rsidRPr="00CF6C28" w:rsidRDefault="006A1FA9" w:rsidP="00CF6C28">
      <w:pPr>
        <w:spacing w:before="240" w:after="0"/>
        <w:jc w:val="both"/>
        <w:rPr>
          <w:rFonts w:ascii="Verdana" w:eastAsia="Times New Roman" w:hAnsi="Verdana" w:cs="Verdana"/>
          <w:b/>
        </w:rPr>
      </w:pPr>
      <w:r w:rsidRPr="00CF6C28">
        <w:rPr>
          <w:rFonts w:ascii="Verdana" w:eastAsia="Times New Roman" w:hAnsi="Verdana" w:cs="Verdana"/>
          <w:b/>
        </w:rPr>
        <w:t>PRACTICE AND PROCEDURE</w:t>
      </w:r>
      <w:r w:rsidR="00CF6C28" w:rsidRPr="00CF6C28">
        <w:rPr>
          <w:rFonts w:ascii="Verdana" w:eastAsia="Times New Roman" w:hAnsi="Verdana" w:cs="Verdana"/>
          <w:b/>
        </w:rPr>
        <w:t xml:space="preserve"> ISSUES</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ACTION</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Cause of action – Validity of – How determined – When deemed to have arisen – Whether obligations and rights of parties must be considered in the light of the law at the time when the cause of action arose</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COURT</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Duty of court in the interpretation of statute - Where the words used in a legislation are plain and unambiguous - Where a statute seeks to deprive a court from the exercise of its jurisdiction on a matter – How properly treated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JURISDICTION</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Jurisdiction over matters involving federal bodies and institution - When Federal High Court is deemed to have concurrent jurisdiction with State High Court – Relevant considerations </w:t>
      </w:r>
    </w:p>
    <w:p w:rsidR="006A1FA9" w:rsidRPr="00CF6C28" w:rsidRDefault="006A1FA9" w:rsidP="00CF6C28">
      <w:pPr>
        <w:spacing w:before="240" w:after="0"/>
        <w:jc w:val="both"/>
        <w:rPr>
          <w:rFonts w:ascii="Verdana" w:eastAsia="Times New Roman" w:hAnsi="Verdana" w:cs="Verdana"/>
        </w:rPr>
      </w:pPr>
      <w:r w:rsidRPr="00CF6C28">
        <w:rPr>
          <w:rFonts w:ascii="Verdana" w:eastAsia="Times New Roman" w:hAnsi="Verdana" w:cs="Verdana"/>
        </w:rPr>
        <w:t>INTERPRETATION OF STATUTES</w:t>
      </w:r>
      <w:proofErr w:type="gramStart"/>
      <w:r w:rsidRPr="00CF6C28">
        <w:rPr>
          <w:rFonts w:ascii="Verdana" w:eastAsia="Times New Roman" w:hAnsi="Verdana" w:cs="Verdana"/>
        </w:rPr>
        <w:t>:-</w:t>
      </w:r>
      <w:proofErr w:type="gramEnd"/>
      <w:r w:rsidRPr="00CF6C28">
        <w:rPr>
          <w:rFonts w:ascii="Verdana" w:eastAsia="Times New Roman" w:hAnsi="Verdana" w:cs="Verdana"/>
        </w:rPr>
        <w:t xml:space="preserve"> Where words used in a legislation are plain and unambiguous – Duty of court thereto </w:t>
      </w:r>
    </w:p>
    <w:p w:rsidR="006A1FA9" w:rsidRPr="00CF6C28" w:rsidRDefault="006A1FA9" w:rsidP="00CF6C28">
      <w:pPr>
        <w:spacing w:before="240"/>
      </w:pPr>
    </w:p>
    <w:p w:rsidR="00EF4813" w:rsidRPr="00CF6C28" w:rsidRDefault="00EF4813" w:rsidP="00CF6C28">
      <w:pPr>
        <w:spacing w:before="240" w:after="0"/>
        <w:jc w:val="both"/>
        <w:rPr>
          <w:rFonts w:ascii="Verdana" w:eastAsia="Times New Roman" w:hAnsi="Verdana" w:cs="Verdana"/>
          <w:lang w:val="en-GB"/>
        </w:rPr>
      </w:pPr>
    </w:p>
    <w:p w:rsidR="00CC4E04" w:rsidRPr="00CF6C28" w:rsidRDefault="00CC4E04" w:rsidP="00CF6C28">
      <w:pPr>
        <w:spacing w:before="240"/>
        <w:jc w:val="both"/>
        <w:rPr>
          <w:rFonts w:ascii="Verdana" w:eastAsia="Times New Roman" w:hAnsi="Verdana" w:cs="Verdana"/>
          <w:lang w:val="en-GB"/>
        </w:rPr>
      </w:pPr>
    </w:p>
    <w:p w:rsidR="00CC4E04" w:rsidRDefault="00CC4E04" w:rsidP="00CF6C28">
      <w:pPr>
        <w:spacing w:before="240" w:after="0"/>
        <w:jc w:val="both"/>
        <w:rPr>
          <w:rFonts w:ascii="Verdana" w:eastAsia="Times New Roman" w:hAnsi="Verdana"/>
          <w:b/>
          <w:sz w:val="20"/>
          <w:szCs w:val="20"/>
        </w:rPr>
      </w:pPr>
    </w:p>
    <w:p w:rsidR="00CC4E04" w:rsidRDefault="00E738A9" w:rsidP="00EF4813">
      <w:pPr>
        <w:spacing w:before="240" w:after="0"/>
        <w:jc w:val="both"/>
        <w:rPr>
          <w:rFonts w:ascii="Verdana" w:hAnsi="Verdana"/>
          <w:b/>
        </w:rPr>
      </w:pPr>
      <w:bookmarkStart w:id="0" w:name="_GoBack"/>
      <w:bookmarkEnd w:id="0"/>
      <w:r>
        <w:rPr>
          <w:rFonts w:ascii="Verdana" w:hAnsi="Verdana"/>
          <w:b/>
        </w:rPr>
        <w:t>MAIN JUDGMENT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b/>
          <w:bCs/>
        </w:rPr>
        <w:lastRenderedPageBreak/>
        <w:t>PATRICK IBE AMAIZU, J.C.A. (delivering the leading judgment)</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This is an appeal against the ruling of </w:t>
      </w:r>
      <w:proofErr w:type="spellStart"/>
      <w:r>
        <w:rPr>
          <w:rFonts w:ascii="Verdana" w:eastAsia="Times New Roman" w:hAnsi="Verdana" w:cs="Verdana"/>
        </w:rPr>
        <w:t>Gbadeyan</w:t>
      </w:r>
      <w:proofErr w:type="spellEnd"/>
      <w:r>
        <w:rPr>
          <w:rFonts w:ascii="Verdana" w:eastAsia="Times New Roman" w:hAnsi="Verdana" w:cs="Verdana"/>
        </w:rPr>
        <w:t xml:space="preserve"> J., of Kwara State High Court, Ilorin Division, in suit </w:t>
      </w:r>
      <w:proofErr w:type="gramStart"/>
      <w:r>
        <w:rPr>
          <w:rFonts w:ascii="Verdana" w:eastAsia="Times New Roman" w:hAnsi="Verdana" w:cs="Verdana"/>
        </w:rPr>
        <w:t>No</w:t>
      </w:r>
      <w:proofErr w:type="gramEnd"/>
      <w:r>
        <w:rPr>
          <w:rFonts w:ascii="Verdana" w:eastAsia="Times New Roman" w:hAnsi="Verdana" w:cs="Verdana"/>
        </w:rPr>
        <w:t xml:space="preserve">. </w:t>
      </w:r>
      <w:proofErr w:type="gramStart"/>
      <w:r>
        <w:rPr>
          <w:rFonts w:ascii="Verdana" w:eastAsia="Times New Roman" w:hAnsi="Verdana" w:cs="Verdana"/>
        </w:rPr>
        <w:t xml:space="preserve">KW/273/96, Mrs. Theresa </w:t>
      </w:r>
      <w:proofErr w:type="spellStart"/>
      <w:r>
        <w:rPr>
          <w:rFonts w:ascii="Verdana" w:eastAsia="Times New Roman" w:hAnsi="Verdana" w:cs="Verdana"/>
        </w:rPr>
        <w:t>Akilo</w:t>
      </w:r>
      <w:proofErr w:type="spellEnd"/>
      <w:r>
        <w:rPr>
          <w:rFonts w:ascii="Verdana" w:eastAsia="Times New Roman" w:hAnsi="Verdana" w:cs="Verdana"/>
        </w:rPr>
        <w:t xml:space="preserve"> v. University of Ilorin Teaching Hospital and 3 others.</w:t>
      </w:r>
      <w:proofErr w:type="gramEnd"/>
      <w:r>
        <w:rPr>
          <w:rFonts w:ascii="Verdana" w:eastAsia="Times New Roman" w:hAnsi="Verdana" w:cs="Verdana"/>
        </w:rPr>
        <w:t xml:space="preserve"> The ruling was delivered on 23/6/99.</w:t>
      </w:r>
    </w:p>
    <w:p w:rsidR="00CF6C28" w:rsidRDefault="00CF6C28"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Briefly, the facts that gave rise to the ruling are as follows – the plaintiff (hereinafter referred to as the respondent) instituted an action against:</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ab/>
        <w:t>(i)</w:t>
      </w:r>
      <w:r>
        <w:rPr>
          <w:rFonts w:ascii="Verdana" w:eastAsia="Times New Roman" w:hAnsi="Verdana" w:cs="Verdana"/>
        </w:rPr>
        <w:tab/>
        <w:t>The University of Ilorin Teaching Hospital.</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ab/>
        <w:t>(ii)</w:t>
      </w:r>
      <w:r>
        <w:rPr>
          <w:rFonts w:ascii="Verdana" w:eastAsia="Times New Roman" w:hAnsi="Verdana" w:cs="Verdana"/>
        </w:rPr>
        <w:tab/>
        <w:t xml:space="preserve">The University of </w:t>
      </w:r>
      <w:proofErr w:type="spellStart"/>
      <w:r>
        <w:rPr>
          <w:rFonts w:ascii="Verdana" w:eastAsia="Times New Roman" w:hAnsi="Verdana" w:cs="Verdana"/>
        </w:rPr>
        <w:t>Iloring</w:t>
      </w:r>
      <w:proofErr w:type="spellEnd"/>
      <w:r>
        <w:rPr>
          <w:rFonts w:ascii="Verdana" w:eastAsia="Times New Roman" w:hAnsi="Verdana" w:cs="Verdana"/>
        </w:rPr>
        <w:t xml:space="preserve"> Teaching Hospital Management Board.</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ab/>
        <w:t>(iii)</w:t>
      </w:r>
      <w:r>
        <w:rPr>
          <w:rFonts w:ascii="Verdana" w:eastAsia="Times New Roman" w:hAnsi="Verdana" w:cs="Verdana"/>
        </w:rPr>
        <w:tab/>
        <w:t xml:space="preserve">Dr. O. </w:t>
      </w:r>
      <w:proofErr w:type="spellStart"/>
      <w:r>
        <w:rPr>
          <w:rFonts w:ascii="Verdana" w:eastAsia="Times New Roman" w:hAnsi="Verdana" w:cs="Verdana"/>
        </w:rPr>
        <w:t>Balogun</w:t>
      </w:r>
      <w:proofErr w:type="spellEnd"/>
      <w:r>
        <w:rPr>
          <w:rFonts w:ascii="Verdana" w:eastAsia="Times New Roman" w:hAnsi="Verdana" w:cs="Verdana"/>
        </w:rPr>
        <w:t>, and</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ab/>
        <w:t>(iv)</w:t>
      </w:r>
      <w:r>
        <w:rPr>
          <w:rFonts w:ascii="Verdana" w:eastAsia="Times New Roman" w:hAnsi="Verdana" w:cs="Verdana"/>
        </w:rPr>
        <w:tab/>
        <w:t xml:space="preserve">Dr. </w:t>
      </w:r>
      <w:proofErr w:type="spellStart"/>
      <w:r>
        <w:rPr>
          <w:rFonts w:ascii="Verdana" w:eastAsia="Times New Roman" w:hAnsi="Verdana" w:cs="Verdana"/>
        </w:rPr>
        <w:t>Oluyori</w:t>
      </w:r>
      <w:proofErr w:type="spellEnd"/>
      <w:r>
        <w:rPr>
          <w:rFonts w:ascii="Verdana" w:eastAsia="Times New Roman" w:hAnsi="Verdana" w:cs="Verdana"/>
        </w:rPr>
        <w:t>, claiming -</w:t>
      </w: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t>"Jointly and severally against the defendants a sum of one Million naira (N1, 000,000.00) being special and general damages for the pains, agonies, travails and emotional distress suffered by the plaintiff and for the dangers and hazards to which her life and family have been exposed to as a result of the negligent treatment carried out by the defendants on the plaintiff when she was to be delivered of a baby in or about the month of June, 1996".</w:t>
      </w:r>
    </w:p>
    <w:p w:rsidR="008F163C" w:rsidRDefault="008F163C"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first and second defendants are hereinafter referred to as the appellants. The third and fourth defendants are medical doctors in the employment of the appellants. They did not appeal against the ruling.</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lastRenderedPageBreak/>
        <w:t>Pleadings were filed and exchanged. They were settled after some amendments. Thereafter, the trial proceeded. In the course of the trial, the learned counsel for the appellants raised an objection by way of Notice of Preliminary objection, to the continued trial of the case by the Ilorin Judicial Division of the Kwara State High Court. The ground of the objection was that the lower court being a State High Court lacks the jurisdiction to entertain the suit.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appellants’ challenge of the jurisdiction was predicated on the fact that they are Federal Government Agencies. In that case, only a Federal High Court has the jurisdiction to entertain any suit against them. The learned trial judge after listening to the argument for and against the objection ruled as follows:-</w:t>
      </w: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t xml:space="preserve">"In this case, the complaint firmly </w:t>
      </w:r>
      <w:proofErr w:type="spellStart"/>
      <w:r>
        <w:rPr>
          <w:rFonts w:ascii="Verdana" w:eastAsia="Times New Roman" w:hAnsi="Verdana" w:cs="Verdana"/>
        </w:rPr>
        <w:t>centres</w:t>
      </w:r>
      <w:proofErr w:type="spellEnd"/>
      <w:r>
        <w:rPr>
          <w:rFonts w:ascii="Verdana" w:eastAsia="Times New Roman" w:hAnsi="Verdana" w:cs="Verdana"/>
        </w:rPr>
        <w:t xml:space="preserve"> on the alleged negligence of two medical doctors and by extension the vicarious liability of their employer is involved in the contest.</w:t>
      </w:r>
    </w:p>
    <w:p w:rsidR="001628B8" w:rsidRDefault="001628B8" w:rsidP="00EF4813">
      <w:pPr>
        <w:spacing w:before="240" w:after="0"/>
        <w:jc w:val="both"/>
        <w:rPr>
          <w:rFonts w:ascii="Verdana" w:eastAsia="Times New Roman" w:hAnsi="Verdana" w:cs="Verdana"/>
        </w:rPr>
      </w:pP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t>I am therefore of the firm view that this case does not fall within the class ousted by the operation of Decree 107 of 1993. Consequently the objection is hereby over ruled as this court has competent jurisdiction to deal with this matter".</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The appellants were dissatisfied with the ruling. They appealed to this court. In compliance with the rules of this court, the parties through their counsel filed briefs of argument and exchanged same. Before us the learned </w:t>
      </w:r>
      <w:proofErr w:type="spellStart"/>
      <w:r>
        <w:rPr>
          <w:rFonts w:ascii="Verdana" w:eastAsia="Times New Roman" w:hAnsi="Verdana" w:cs="Verdana"/>
        </w:rPr>
        <w:t>counsel</w:t>
      </w:r>
      <w:proofErr w:type="spellEnd"/>
      <w:r>
        <w:rPr>
          <w:rFonts w:ascii="Verdana" w:eastAsia="Times New Roman" w:hAnsi="Verdana" w:cs="Verdana"/>
        </w:rPr>
        <w:t xml:space="preserve"> adopted their briefs of argument.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learned counsel for the appellants formulated one issue for determination. It reads –</w:t>
      </w: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t>"Whether the plaintiff’s/respondent’s claim falls within the purviews of the provisions of section 230 of 1979 Constitution as amended by Decree 107 of 1993 (and now section 251(1) (P) of the 1999 Constitution)".</w:t>
      </w:r>
    </w:p>
    <w:p w:rsidR="001628B8" w:rsidRDefault="001628B8"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learned counsel for the respondent also formulated one issue for determination. In my considered view, the lone issue is adequately covered by the above issue identified by the learned counsel for the appellants. I will determine the appeal on the above issue formulated by the appellants. I consider it not necessary therefore to reproduce the issue formulated by the respondent.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Arguing the issue, </w:t>
      </w:r>
      <w:proofErr w:type="spellStart"/>
      <w:r>
        <w:rPr>
          <w:rFonts w:ascii="Verdana" w:eastAsia="Times New Roman" w:hAnsi="Verdana" w:cs="Verdana"/>
        </w:rPr>
        <w:t>Lawal-Rabana</w:t>
      </w:r>
      <w:proofErr w:type="spellEnd"/>
      <w:r>
        <w:rPr>
          <w:rFonts w:ascii="Verdana" w:eastAsia="Times New Roman" w:hAnsi="Verdana" w:cs="Verdana"/>
        </w:rPr>
        <w:t xml:space="preserve"> Esq., of counsel, referred to the admissions of the respondent in paragraphs 2 and 3 of the Amended Statement of Claim dated 24th July 1997 that the appellants are creations of Federal enactments. The learned counsel also referred to the ruling of the court below that the appellants are agencies or organs of the Federal Government. He contended that the status of the two appellants as Agencies or Organs of the Federal Government is established beyond any dispute. It is the learned counsel’s view that under the provisions of section 230 of the 1979 Constitution as amended by Decree No. 107 of 1993 which, according to him, was the applicable law at the material time, in any civil causes and matters relating to the administration or the management and control of the Federal Government or any of its Agencies, the Federal High Court has the jurisdiction to hear such a case to the exclusion of any other court. He cited –</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1.</w:t>
      </w:r>
      <w:r>
        <w:rPr>
          <w:rFonts w:ascii="Verdana" w:eastAsia="Times New Roman" w:hAnsi="Verdana" w:cs="Verdana"/>
        </w:rPr>
        <w:tab/>
        <w:t xml:space="preserve">University of Abuja v. Prof. </w:t>
      </w:r>
      <w:proofErr w:type="spellStart"/>
      <w:r>
        <w:rPr>
          <w:rFonts w:ascii="Verdana" w:eastAsia="Times New Roman" w:hAnsi="Verdana" w:cs="Verdana"/>
        </w:rPr>
        <w:t>Ologe</w:t>
      </w:r>
      <w:proofErr w:type="spellEnd"/>
      <w:r>
        <w:rPr>
          <w:rFonts w:ascii="Verdana" w:eastAsia="Times New Roman" w:hAnsi="Verdana" w:cs="Verdana"/>
        </w:rPr>
        <w:t xml:space="preserve"> (1996) 4 NWLR (Pt. 445) pg. 706 at 722.</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2.</w:t>
      </w:r>
      <w:r>
        <w:rPr>
          <w:rFonts w:ascii="Verdana" w:eastAsia="Times New Roman" w:hAnsi="Verdana" w:cs="Verdana"/>
        </w:rPr>
        <w:tab/>
        <w:t>Ali v. C.B.N. (1997) 4 N.W.L.R. (Pt. 498) p. 92</w:t>
      </w:r>
    </w:p>
    <w:p w:rsidR="00CC4E04" w:rsidRDefault="00E738A9" w:rsidP="001628B8">
      <w:pPr>
        <w:spacing w:before="240" w:after="0"/>
        <w:ind w:left="720" w:hanging="720"/>
        <w:jc w:val="both"/>
        <w:rPr>
          <w:rFonts w:ascii="Verdana" w:eastAsia="Times New Roman" w:hAnsi="Verdana" w:cs="Verdana"/>
        </w:rPr>
      </w:pPr>
      <w:r>
        <w:rPr>
          <w:rFonts w:ascii="Verdana" w:eastAsia="Times New Roman" w:hAnsi="Verdana" w:cs="Verdana"/>
        </w:rPr>
        <w:t>3.</w:t>
      </w:r>
      <w:r>
        <w:rPr>
          <w:rFonts w:ascii="Verdana" w:eastAsia="Times New Roman" w:hAnsi="Verdana" w:cs="Verdana"/>
        </w:rPr>
        <w:tab/>
      </w:r>
      <w:proofErr w:type="spellStart"/>
      <w:r>
        <w:rPr>
          <w:rFonts w:ascii="Verdana" w:eastAsia="Times New Roman" w:hAnsi="Verdana" w:cs="Verdana"/>
        </w:rPr>
        <w:t>Oyenucheya</w:t>
      </w:r>
      <w:proofErr w:type="spellEnd"/>
      <w:r>
        <w:rPr>
          <w:rFonts w:ascii="Verdana" w:eastAsia="Times New Roman" w:hAnsi="Verdana" w:cs="Verdana"/>
        </w:rPr>
        <w:t xml:space="preserve"> v. Military Administrator of Imo State (1997) 1 N.W.L.R. (Pt. 482.) p. 429 at 449.</w:t>
      </w:r>
    </w:p>
    <w:p w:rsidR="001628B8" w:rsidRDefault="001628B8"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learned counsel contended that it is the plaintiff’s claim that determines the jurisdiction of the court. To make his point, the learned counsel referred to paragraphs 4-6, 8 and 9, 11 and 34, of the Amended Statement of Claim. He submitted that the following facts are deductible from the paragraphs –</w:t>
      </w:r>
    </w:p>
    <w:p w:rsidR="00CC4E04" w:rsidRDefault="00E738A9" w:rsidP="001628B8">
      <w:pPr>
        <w:spacing w:before="240" w:after="0"/>
        <w:ind w:left="720" w:hanging="720"/>
        <w:jc w:val="both"/>
        <w:rPr>
          <w:rFonts w:ascii="Verdana" w:eastAsia="Times New Roman" w:hAnsi="Verdana" w:cs="Verdana"/>
        </w:rPr>
      </w:pPr>
      <w:r>
        <w:rPr>
          <w:rFonts w:ascii="Verdana" w:eastAsia="Times New Roman" w:hAnsi="Verdana" w:cs="Verdana"/>
        </w:rPr>
        <w:t>1.</w:t>
      </w:r>
      <w:r>
        <w:rPr>
          <w:rFonts w:ascii="Verdana" w:eastAsia="Times New Roman" w:hAnsi="Verdana" w:cs="Verdana"/>
        </w:rPr>
        <w:tab/>
        <w:t>The 3rd and 4th defendants are medical doctors in the employment of the 1st and 2nd appellants.</w:t>
      </w:r>
    </w:p>
    <w:p w:rsidR="00CC4E04" w:rsidRDefault="00E738A9" w:rsidP="001628B8">
      <w:pPr>
        <w:spacing w:before="240" w:after="0"/>
        <w:ind w:left="720" w:hanging="720"/>
        <w:jc w:val="both"/>
        <w:rPr>
          <w:rFonts w:ascii="Verdana" w:eastAsia="Times New Roman" w:hAnsi="Verdana" w:cs="Verdana"/>
        </w:rPr>
      </w:pPr>
      <w:r>
        <w:rPr>
          <w:rFonts w:ascii="Verdana" w:eastAsia="Times New Roman" w:hAnsi="Verdana" w:cs="Verdana"/>
        </w:rPr>
        <w:lastRenderedPageBreak/>
        <w:t>2.</w:t>
      </w:r>
      <w:r>
        <w:rPr>
          <w:rFonts w:ascii="Verdana" w:eastAsia="Times New Roman" w:hAnsi="Verdana" w:cs="Verdana"/>
        </w:rPr>
        <w:tab/>
        <w:t>The plaintiff/respondent was treated at the maternity run by the 1st appellant by the 3rd and 4th defendants.</w:t>
      </w:r>
    </w:p>
    <w:p w:rsidR="00CC4E04" w:rsidRDefault="00E738A9" w:rsidP="001628B8">
      <w:pPr>
        <w:spacing w:before="240" w:after="0"/>
        <w:ind w:left="720" w:hanging="720"/>
        <w:jc w:val="both"/>
        <w:rPr>
          <w:rFonts w:ascii="Verdana" w:eastAsia="Times New Roman" w:hAnsi="Verdana" w:cs="Verdana"/>
        </w:rPr>
      </w:pPr>
      <w:r>
        <w:rPr>
          <w:rFonts w:ascii="Verdana" w:eastAsia="Times New Roman" w:hAnsi="Verdana" w:cs="Verdana"/>
        </w:rPr>
        <w:t>3.</w:t>
      </w:r>
      <w:r>
        <w:rPr>
          <w:rFonts w:ascii="Verdana" w:eastAsia="Times New Roman" w:hAnsi="Verdana" w:cs="Verdana"/>
        </w:rPr>
        <w:tab/>
        <w:t>The two defendants were negligent in treating the plaintiff/ respondent. And, this gave rise to a claim for special and general damages against the appellants by way of vicarious liability.</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Finally, on this point, the learned counsel submitted that the action of the plaintiff/respondent which is founded on negligence and vicarious liability against the appellants affects the management and control exercised by the two appellants on the medical doctors and the maternity hospital.</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In his reply, </w:t>
      </w:r>
      <w:proofErr w:type="spellStart"/>
      <w:r>
        <w:rPr>
          <w:rFonts w:ascii="Verdana" w:eastAsia="Times New Roman" w:hAnsi="Verdana" w:cs="Verdana"/>
        </w:rPr>
        <w:t>Akinlaja</w:t>
      </w:r>
      <w:proofErr w:type="spellEnd"/>
      <w:r>
        <w:rPr>
          <w:rFonts w:ascii="Verdana" w:eastAsia="Times New Roman" w:hAnsi="Verdana" w:cs="Verdana"/>
        </w:rPr>
        <w:t xml:space="preserve"> Esq., of counsel, submitted that it is a settled principle of law that it is the plaintiff’s claim that confers jurisdiction on a court. He cited the following cases -</w:t>
      </w:r>
    </w:p>
    <w:p w:rsidR="00CC4E04" w:rsidRDefault="00E738A9" w:rsidP="00EF4813">
      <w:pPr>
        <w:spacing w:before="240" w:after="0"/>
        <w:jc w:val="both"/>
        <w:rPr>
          <w:rFonts w:ascii="Verdana" w:eastAsia="Times New Roman" w:hAnsi="Verdana" w:cs="Verdana"/>
        </w:rPr>
      </w:pPr>
      <w:proofErr w:type="spellStart"/>
      <w:r>
        <w:rPr>
          <w:rFonts w:ascii="Verdana" w:eastAsia="Times New Roman" w:hAnsi="Verdana" w:cs="Verdana"/>
        </w:rPr>
        <w:t>Akinfolarin</w:t>
      </w:r>
      <w:proofErr w:type="spellEnd"/>
      <w:r>
        <w:rPr>
          <w:rFonts w:ascii="Verdana" w:eastAsia="Times New Roman" w:hAnsi="Verdana" w:cs="Verdana"/>
        </w:rPr>
        <w:t xml:space="preserve"> v. </w:t>
      </w:r>
      <w:proofErr w:type="spellStart"/>
      <w:r>
        <w:rPr>
          <w:rFonts w:ascii="Verdana" w:eastAsia="Times New Roman" w:hAnsi="Verdana" w:cs="Verdana"/>
        </w:rPr>
        <w:t>Akinnola</w:t>
      </w:r>
      <w:proofErr w:type="spellEnd"/>
      <w:r>
        <w:rPr>
          <w:rFonts w:ascii="Verdana" w:eastAsia="Times New Roman" w:hAnsi="Verdana" w:cs="Verdana"/>
        </w:rPr>
        <w:t xml:space="preserve"> (1994) 4 S.C.N.J. 30</w:t>
      </w:r>
    </w:p>
    <w:p w:rsidR="00CC4E04" w:rsidRDefault="00E738A9" w:rsidP="00EF4813">
      <w:pPr>
        <w:spacing w:before="240" w:after="0"/>
        <w:jc w:val="both"/>
        <w:rPr>
          <w:rFonts w:ascii="Verdana" w:eastAsia="Times New Roman" w:hAnsi="Verdana" w:cs="Verdana"/>
        </w:rPr>
      </w:pPr>
      <w:proofErr w:type="spellStart"/>
      <w:r>
        <w:rPr>
          <w:rFonts w:ascii="Verdana" w:eastAsia="Times New Roman" w:hAnsi="Verdana" w:cs="Verdana"/>
        </w:rPr>
        <w:t>Kotoye</w:t>
      </w:r>
      <w:proofErr w:type="spellEnd"/>
      <w:r>
        <w:rPr>
          <w:rFonts w:ascii="Verdana" w:eastAsia="Times New Roman" w:hAnsi="Verdana" w:cs="Verdana"/>
        </w:rPr>
        <w:t xml:space="preserve"> v. </w:t>
      </w:r>
      <w:proofErr w:type="spellStart"/>
      <w:r>
        <w:rPr>
          <w:rFonts w:ascii="Verdana" w:eastAsia="Times New Roman" w:hAnsi="Verdana" w:cs="Verdana"/>
        </w:rPr>
        <w:t>Saraki</w:t>
      </w:r>
      <w:proofErr w:type="spellEnd"/>
      <w:r>
        <w:rPr>
          <w:rFonts w:ascii="Verdana" w:eastAsia="Times New Roman" w:hAnsi="Verdana" w:cs="Verdana"/>
        </w:rPr>
        <w:t xml:space="preserve"> (1994) 7-8 SCNJ 524</w:t>
      </w:r>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Anya v. </w:t>
      </w:r>
      <w:proofErr w:type="spellStart"/>
      <w:r>
        <w:rPr>
          <w:rFonts w:ascii="Verdana" w:eastAsia="Times New Roman" w:hAnsi="Verdana" w:cs="Verdana"/>
        </w:rPr>
        <w:t>Iyayi</w:t>
      </w:r>
      <w:proofErr w:type="spellEnd"/>
      <w:r>
        <w:rPr>
          <w:rFonts w:ascii="Verdana" w:eastAsia="Times New Roman" w:hAnsi="Verdana" w:cs="Verdana"/>
        </w:rPr>
        <w:t xml:space="preserve"> (1993) 9 S.C.N.J. 53.</w:t>
      </w:r>
      <w:proofErr w:type="gramEnd"/>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It is the learned counsel’s view that a perusal of the Statement of Claim would show that the learned trial judge was right in holding that:</w:t>
      </w:r>
    </w:p>
    <w:p w:rsidR="001628B8" w:rsidRDefault="00E738A9" w:rsidP="001628B8">
      <w:pPr>
        <w:spacing w:before="240" w:after="0"/>
        <w:ind w:left="720"/>
        <w:jc w:val="both"/>
        <w:rPr>
          <w:rFonts w:ascii="Verdana" w:eastAsia="Times New Roman" w:hAnsi="Verdana" w:cs="Verdana"/>
        </w:rPr>
      </w:pPr>
      <w:r>
        <w:rPr>
          <w:rFonts w:ascii="Verdana" w:eastAsia="Times New Roman" w:hAnsi="Verdana" w:cs="Verdana"/>
        </w:rPr>
        <w:t xml:space="preserve">"In this case, the complaint firmly centers on the alleged negligence of two medical doctors and by extension the vicarious liability of their employer is involved in the contest". </w:t>
      </w:r>
    </w:p>
    <w:p w:rsidR="001628B8" w:rsidRDefault="001628B8" w:rsidP="00EF4813">
      <w:pPr>
        <w:spacing w:before="240" w:after="0"/>
        <w:jc w:val="both"/>
        <w:rPr>
          <w:rFonts w:ascii="Verdana" w:eastAsia="Times New Roman" w:hAnsi="Verdana" w:cs="Verdana"/>
        </w:rPr>
      </w:pPr>
    </w:p>
    <w:p w:rsidR="001628B8" w:rsidRDefault="00E738A9" w:rsidP="00EF4813">
      <w:pPr>
        <w:spacing w:before="240" w:after="0"/>
        <w:jc w:val="both"/>
        <w:rPr>
          <w:rFonts w:ascii="Verdana" w:eastAsia="Times New Roman" w:hAnsi="Verdana" w:cs="Verdana"/>
        </w:rPr>
      </w:pPr>
      <w:r>
        <w:rPr>
          <w:rFonts w:ascii="Verdana" w:eastAsia="Times New Roman" w:hAnsi="Verdana" w:cs="Verdana"/>
        </w:rPr>
        <w:lastRenderedPageBreak/>
        <w:t xml:space="preserve">The learned counsel submitted that the relief sought by the respondent as contained in paragraph 34 of the Amended Statement of Claim is for special and general damages premised on tort of medical negligence. It is his view that in the light of the foregoing, the respondent’s action does not touch on a matter or case arising from the "administration or the management and control of the Federal Government or any of its agencies". He submitted that the view taken by </w:t>
      </w:r>
      <w:proofErr w:type="spellStart"/>
      <w:r>
        <w:rPr>
          <w:rFonts w:ascii="Verdana" w:eastAsia="Times New Roman" w:hAnsi="Verdana" w:cs="Verdana"/>
        </w:rPr>
        <w:t>Lawal-Rabana</w:t>
      </w:r>
      <w:proofErr w:type="spellEnd"/>
      <w:r>
        <w:rPr>
          <w:rFonts w:ascii="Verdana" w:eastAsia="Times New Roman" w:hAnsi="Verdana" w:cs="Verdana"/>
        </w:rPr>
        <w:t xml:space="preserve"> Esq., of counsel, imports into the provisions of section 230(1</w:t>
      </w:r>
      <w:proofErr w:type="gramStart"/>
      <w:r>
        <w:rPr>
          <w:rFonts w:ascii="Verdana" w:eastAsia="Times New Roman" w:hAnsi="Verdana" w:cs="Verdana"/>
        </w:rPr>
        <w:t>)(</w:t>
      </w:r>
      <w:proofErr w:type="gramEnd"/>
      <w:r>
        <w:rPr>
          <w:rFonts w:ascii="Verdana" w:eastAsia="Times New Roman" w:hAnsi="Verdana" w:cs="Verdana"/>
        </w:rPr>
        <w:t xml:space="preserve">q) of the 1979 Constitution what is obviously not there. He further submitted that when the words used in a statute are clear they should be accorded their ordinary and plain meaning. He cited the cases of – </w:t>
      </w:r>
    </w:p>
    <w:p w:rsidR="00CC4E04" w:rsidRDefault="00E738A9" w:rsidP="00EF4813">
      <w:pPr>
        <w:spacing w:before="240" w:after="0"/>
        <w:jc w:val="both"/>
        <w:rPr>
          <w:rFonts w:ascii="Verdana" w:eastAsia="Times New Roman" w:hAnsi="Verdana" w:cs="Verdana"/>
        </w:rPr>
      </w:pPr>
      <w:proofErr w:type="spellStart"/>
      <w:r>
        <w:rPr>
          <w:rFonts w:ascii="Verdana" w:eastAsia="Times New Roman" w:hAnsi="Verdana" w:cs="Verdana"/>
        </w:rPr>
        <w:t>Awolowo</w:t>
      </w:r>
      <w:proofErr w:type="spellEnd"/>
      <w:r>
        <w:rPr>
          <w:rFonts w:ascii="Verdana" w:eastAsia="Times New Roman" w:hAnsi="Verdana" w:cs="Verdana"/>
        </w:rPr>
        <w:t xml:space="preserve"> v. </w:t>
      </w:r>
      <w:proofErr w:type="spellStart"/>
      <w:r>
        <w:rPr>
          <w:rFonts w:ascii="Verdana" w:eastAsia="Times New Roman" w:hAnsi="Verdana" w:cs="Verdana"/>
        </w:rPr>
        <w:t>Shagari</w:t>
      </w:r>
      <w:proofErr w:type="spellEnd"/>
      <w:r>
        <w:rPr>
          <w:rFonts w:ascii="Verdana" w:eastAsia="Times New Roman" w:hAnsi="Verdana" w:cs="Verdana"/>
        </w:rPr>
        <w:t xml:space="preserve"> (1979) 6-9 S.C. 51 at 90-92.</w:t>
      </w:r>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Aqua Ltd. v. Ondo State Sports Council (1988) 4 NWLR (Pt. 91) 622 at 641 and 642.</w:t>
      </w:r>
      <w:proofErr w:type="gramEnd"/>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Fasakin</w:t>
      </w:r>
      <w:proofErr w:type="spellEnd"/>
      <w:r>
        <w:rPr>
          <w:rFonts w:ascii="Verdana" w:eastAsia="Times New Roman" w:hAnsi="Verdana" w:cs="Verdana"/>
        </w:rPr>
        <w:t xml:space="preserve"> v. </w:t>
      </w:r>
      <w:proofErr w:type="spellStart"/>
      <w:r>
        <w:rPr>
          <w:rFonts w:ascii="Verdana" w:eastAsia="Times New Roman" w:hAnsi="Verdana" w:cs="Verdana"/>
        </w:rPr>
        <w:t>Fasakin</w:t>
      </w:r>
      <w:proofErr w:type="spellEnd"/>
      <w:r>
        <w:rPr>
          <w:rFonts w:ascii="Verdana" w:eastAsia="Times New Roman" w:hAnsi="Verdana" w:cs="Verdana"/>
        </w:rPr>
        <w:t xml:space="preserve"> (1994) 4 NWLR (Pt. 340) 597.</w:t>
      </w:r>
      <w:proofErr w:type="gramEnd"/>
    </w:p>
    <w:p w:rsidR="001628B8" w:rsidRDefault="001628B8"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It is the view of the learned counsel that the treatment received at the hospital by the respondent has nothing to do with the management and control of the hospital by the appellants. It is further his view that the argument would have held water if the complaint of the respondent had been against the way and manner the appellants had run, managed, administered or controlled the hospital. The learned counsel further observed that the respondent is not complaining about the functions or decisions or actions of the </w:t>
      </w:r>
      <w:proofErr w:type="gramStart"/>
      <w:r>
        <w:rPr>
          <w:rFonts w:ascii="Verdana" w:eastAsia="Times New Roman" w:hAnsi="Verdana" w:cs="Verdana"/>
        </w:rPr>
        <w:t>appellants</w:t>
      </w:r>
      <w:proofErr w:type="gramEnd"/>
      <w:r>
        <w:rPr>
          <w:rFonts w:ascii="Verdana" w:eastAsia="Times New Roman" w:hAnsi="Verdana" w:cs="Verdana"/>
        </w:rPr>
        <w:t xml:space="preserve"> </w:t>
      </w:r>
      <w:proofErr w:type="spellStart"/>
      <w:r>
        <w:rPr>
          <w:rFonts w:ascii="Verdana" w:eastAsia="Times New Roman" w:hAnsi="Verdana" w:cs="Verdana"/>
        </w:rPr>
        <w:t>simpliciter</w:t>
      </w:r>
      <w:proofErr w:type="spellEnd"/>
      <w:r>
        <w:rPr>
          <w:rFonts w:ascii="Verdana" w:eastAsia="Times New Roman" w:hAnsi="Verdana" w:cs="Verdana"/>
        </w:rPr>
        <w:t xml:space="preserve"> which, according to him, would have made it fall within the scope of the cases ousted by Decree 107 of 1993. It is the learned counsel’s view that the cases referred to by </w:t>
      </w:r>
      <w:proofErr w:type="spellStart"/>
      <w:r>
        <w:rPr>
          <w:rFonts w:ascii="Verdana" w:eastAsia="Times New Roman" w:hAnsi="Verdana" w:cs="Verdana"/>
        </w:rPr>
        <w:t>Lawal-Rabana</w:t>
      </w:r>
      <w:proofErr w:type="spellEnd"/>
      <w:r>
        <w:rPr>
          <w:rFonts w:ascii="Verdana" w:eastAsia="Times New Roman" w:hAnsi="Verdana" w:cs="Verdana"/>
        </w:rPr>
        <w:t xml:space="preserve"> Esq., of counsel, are of little or no assistance to the appellants’ case. The authorities, the learned counsel submitted, were decided on matters that clearly fall within the scope of the management, administration or control of agencies of the Federal Government. Finally, the learned counsel contended that the intention of the law makers was not to confer exclusive jurisdiction on the Federal High Court in respect of all causes or matters involving the Federal Government or any of its agencies. He referred to the case of Federal Mortgage Bank of Nigeria v. Nigeria Deposit Insurance Corporation (1999) 2 S.C.N.J. 57, where the Supreme Court held that –</w:t>
      </w: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lastRenderedPageBreak/>
        <w:t>"To say that where there is a dispute between two banks the forum for the resolution of the dispute is the Federal High Court is to read into section 230(1</w:t>
      </w:r>
      <w:proofErr w:type="gramStart"/>
      <w:r>
        <w:rPr>
          <w:rFonts w:ascii="Verdana" w:eastAsia="Times New Roman" w:hAnsi="Verdana" w:cs="Verdana"/>
        </w:rPr>
        <w:t>)(</w:t>
      </w:r>
      <w:proofErr w:type="gramEnd"/>
      <w:r>
        <w:rPr>
          <w:rFonts w:ascii="Verdana" w:eastAsia="Times New Roman" w:hAnsi="Verdana" w:cs="Verdana"/>
        </w:rPr>
        <w:t>d) what is not there. A lot depends on the nature of the transaction between the two banks".</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He urged the court to dismiss the appeal.</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observe that the cause of action arose in 1996. It is trite that the obligations and rights of parties must be considered in the light of the law at the time when the cause of action arose. See F.S. </w:t>
      </w:r>
      <w:proofErr w:type="spellStart"/>
      <w:r>
        <w:rPr>
          <w:rFonts w:ascii="Verdana" w:eastAsia="Times New Roman" w:hAnsi="Verdana" w:cs="Verdana"/>
        </w:rPr>
        <w:t>Uwaifo</w:t>
      </w:r>
      <w:proofErr w:type="spellEnd"/>
      <w:r>
        <w:rPr>
          <w:rFonts w:ascii="Verdana" w:eastAsia="Times New Roman" w:hAnsi="Verdana" w:cs="Verdana"/>
        </w:rPr>
        <w:t xml:space="preserve"> v. A.G. Bendel State &amp; Ors. </w:t>
      </w:r>
      <w:proofErr w:type="gramStart"/>
      <w:r>
        <w:rPr>
          <w:rFonts w:ascii="Verdana" w:eastAsia="Times New Roman" w:hAnsi="Verdana" w:cs="Verdana"/>
        </w:rPr>
        <w:t>(1982) N.S.C.C. 221.</w:t>
      </w:r>
      <w:proofErr w:type="gramEnd"/>
      <w:r>
        <w:rPr>
          <w:rFonts w:ascii="Verdana" w:eastAsia="Times New Roman" w:hAnsi="Verdana" w:cs="Verdana"/>
        </w:rPr>
        <w:t xml:space="preserve"> It follows, in my view that the law that determines the court that has the jurisdiction to hear the suit is the 1979 Constitution of the Federal Republic of Nigeria as amended by Decree No. 107 otherwise known as Constitution (Suspension &amp; Modification) Decree 1993. Section 230(1</w:t>
      </w:r>
      <w:proofErr w:type="gramStart"/>
      <w:r>
        <w:rPr>
          <w:rFonts w:ascii="Verdana" w:eastAsia="Times New Roman" w:hAnsi="Verdana" w:cs="Verdana"/>
        </w:rPr>
        <w:t>)(</w:t>
      </w:r>
      <w:proofErr w:type="gramEnd"/>
      <w:r>
        <w:rPr>
          <w:rFonts w:ascii="Verdana" w:eastAsia="Times New Roman" w:hAnsi="Verdana" w:cs="Verdana"/>
        </w:rPr>
        <w:t>q) thereof provides –</w:t>
      </w:r>
    </w:p>
    <w:p w:rsidR="00CC4E04" w:rsidRDefault="00E738A9" w:rsidP="001628B8">
      <w:pPr>
        <w:spacing w:before="240" w:after="0"/>
        <w:ind w:left="720"/>
        <w:jc w:val="both"/>
        <w:rPr>
          <w:rFonts w:ascii="Verdana" w:eastAsia="Times New Roman" w:hAnsi="Verdana" w:cs="Verdana"/>
        </w:rPr>
      </w:pPr>
      <w:r>
        <w:rPr>
          <w:rFonts w:ascii="Verdana" w:eastAsia="Times New Roman" w:hAnsi="Verdana" w:cs="Verdana"/>
        </w:rPr>
        <w:t xml:space="preserve">"Notwithstanding </w:t>
      </w:r>
      <w:proofErr w:type="spellStart"/>
      <w:r>
        <w:rPr>
          <w:rFonts w:ascii="Verdana" w:eastAsia="Times New Roman" w:hAnsi="Verdana" w:cs="Verdana"/>
        </w:rPr>
        <w:t>any thing</w:t>
      </w:r>
      <w:proofErr w:type="spellEnd"/>
      <w:r>
        <w:rPr>
          <w:rFonts w:ascii="Verdana" w:eastAsia="Times New Roman" w:hAnsi="Verdana" w:cs="Verdana"/>
        </w:rPr>
        <w:t xml:space="preserve"> to the contrary contained in this Constitution and in addition to such other jurisdiction as may be conferred upon it by an Act of the National Assembly or a Decree, the Federal High Court shall have and exercise jurisdiction to the exclusion of any other court in civil </w:t>
      </w:r>
      <w:proofErr w:type="spellStart"/>
      <w:r>
        <w:rPr>
          <w:rFonts w:ascii="Verdana" w:eastAsia="Times New Roman" w:hAnsi="Verdana" w:cs="Verdana"/>
        </w:rPr>
        <w:t>causes</w:t>
      </w:r>
      <w:proofErr w:type="spellEnd"/>
      <w:r>
        <w:rPr>
          <w:rFonts w:ascii="Verdana" w:eastAsia="Times New Roman" w:hAnsi="Verdana" w:cs="Verdana"/>
        </w:rPr>
        <w:t xml:space="preserve"> and matters arising from-</w:t>
      </w:r>
    </w:p>
    <w:p w:rsidR="00CC4E04" w:rsidRDefault="00E738A9" w:rsidP="001628B8">
      <w:pPr>
        <w:spacing w:before="240" w:after="0"/>
        <w:ind w:left="1440" w:hanging="720"/>
        <w:jc w:val="both"/>
        <w:rPr>
          <w:rFonts w:ascii="Verdana" w:eastAsia="Times New Roman" w:hAnsi="Verdana" w:cs="Verdana"/>
        </w:rPr>
      </w:pPr>
      <w:proofErr w:type="gramStart"/>
      <w:r>
        <w:rPr>
          <w:rFonts w:ascii="Verdana" w:eastAsia="Times New Roman" w:hAnsi="Verdana" w:cs="Verdana"/>
        </w:rPr>
        <w:t>(q)</w:t>
      </w:r>
      <w:r>
        <w:rPr>
          <w:rFonts w:ascii="Verdana" w:eastAsia="Times New Roman" w:hAnsi="Verdana" w:cs="Verdana"/>
        </w:rPr>
        <w:tab/>
        <w:t>The administration or the management and control of the Federal Government or any of its agencies".</w:t>
      </w:r>
      <w:proofErr w:type="gramEnd"/>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question that arises is</w:t>
      </w:r>
      <w:proofErr w:type="gramStart"/>
      <w:r>
        <w:rPr>
          <w:rFonts w:ascii="Verdana" w:eastAsia="Times New Roman" w:hAnsi="Verdana" w:cs="Verdana"/>
        </w:rPr>
        <w:t>,</w:t>
      </w:r>
      <w:proofErr w:type="gramEnd"/>
      <w:r>
        <w:rPr>
          <w:rFonts w:ascii="Verdana" w:eastAsia="Times New Roman" w:hAnsi="Verdana" w:cs="Verdana"/>
        </w:rPr>
        <w:t xml:space="preserve"> how far does this provision go? It is a well established principle of interpretation that if the words used in </w:t>
      </w:r>
      <w:proofErr w:type="gramStart"/>
      <w:r>
        <w:rPr>
          <w:rFonts w:ascii="Verdana" w:eastAsia="Times New Roman" w:hAnsi="Verdana" w:cs="Verdana"/>
        </w:rPr>
        <w:t>a legislation</w:t>
      </w:r>
      <w:proofErr w:type="gramEnd"/>
      <w:r>
        <w:rPr>
          <w:rFonts w:ascii="Verdana" w:eastAsia="Times New Roman" w:hAnsi="Verdana" w:cs="Verdana"/>
        </w:rPr>
        <w:t xml:space="preserve"> are plain and unambiguous they shall be given their ordinary meaning. It is therefore not the function of a judge to import into a statute words which would do violence to the provisions of that statute. See Fred </w:t>
      </w:r>
      <w:proofErr w:type="spellStart"/>
      <w:r>
        <w:rPr>
          <w:rFonts w:ascii="Verdana" w:eastAsia="Times New Roman" w:hAnsi="Verdana" w:cs="Verdana"/>
        </w:rPr>
        <w:t>Egbe</w:t>
      </w:r>
      <w:proofErr w:type="spellEnd"/>
      <w:r>
        <w:rPr>
          <w:rFonts w:ascii="Verdana" w:eastAsia="Times New Roman" w:hAnsi="Verdana" w:cs="Verdana"/>
        </w:rPr>
        <w:t xml:space="preserve"> v. M.D. Yusuf (1992) 6 N.W.L.R. (Pt. 245), p.1. It is also a well established principle of interpretation of statutes that where a statute seeks to deprive a court from the exercise of its jurisdiction on a matter, such a statute must be strictly and scrupulously considered. To give effect to the provision of such a statute it must be </w:t>
      </w:r>
      <w:r>
        <w:rPr>
          <w:rFonts w:ascii="Verdana" w:eastAsia="Times New Roman" w:hAnsi="Verdana" w:cs="Verdana"/>
        </w:rPr>
        <w:lastRenderedPageBreak/>
        <w:t xml:space="preserve">clear from the facts and circumstances of the particular case that an interpretation taking away the jurisdiction of the court is justified. </w:t>
      </w:r>
      <w:proofErr w:type="gramStart"/>
      <w:r>
        <w:rPr>
          <w:rFonts w:ascii="Verdana" w:eastAsia="Times New Roman" w:hAnsi="Verdana" w:cs="Verdana"/>
        </w:rPr>
        <w:t xml:space="preserve">Military Governor of Ondo State v. </w:t>
      </w:r>
      <w:proofErr w:type="spellStart"/>
      <w:r>
        <w:rPr>
          <w:rFonts w:ascii="Verdana" w:eastAsia="Times New Roman" w:hAnsi="Verdana" w:cs="Verdana"/>
        </w:rPr>
        <w:t>Adewunmi</w:t>
      </w:r>
      <w:proofErr w:type="spellEnd"/>
      <w:r>
        <w:rPr>
          <w:rFonts w:ascii="Verdana" w:eastAsia="Times New Roman" w:hAnsi="Verdana" w:cs="Verdana"/>
        </w:rPr>
        <w:t xml:space="preserve"> (1988) 3 N.W.L.R. (Pt. 82) p. 280 at 294.</w:t>
      </w:r>
      <w:proofErr w:type="gramEnd"/>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In this light, I now consider the provision. In my considered view, the provision is very clear and unambiguous. Only the Federal High Court has the jurisdiction to hear cases relating to the administration or the management and control of the Federal Government or any of its agencies.</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start with the claim. The parties are sued jointly and severally for the negligent treatment of the respondent carried out by the 3rd and 4th defendants. Osborn’s Concise Law Dictionary, Sixth Edition defines joint and several </w:t>
      </w:r>
      <w:proofErr w:type="gramStart"/>
      <w:r>
        <w:rPr>
          <w:rFonts w:ascii="Verdana" w:eastAsia="Times New Roman" w:hAnsi="Verdana" w:cs="Verdana"/>
        </w:rPr>
        <w:t>obligation</w:t>
      </w:r>
      <w:proofErr w:type="gramEnd"/>
      <w:r>
        <w:rPr>
          <w:rFonts w:ascii="Verdana" w:eastAsia="Times New Roman" w:hAnsi="Verdana" w:cs="Verdana"/>
        </w:rPr>
        <w:t xml:space="preserve"> as meaning –</w:t>
      </w:r>
    </w:p>
    <w:p w:rsidR="00CC4E04" w:rsidRDefault="00E738A9" w:rsidP="009D4D52">
      <w:pPr>
        <w:spacing w:before="240" w:after="0"/>
        <w:ind w:left="720"/>
        <w:jc w:val="both"/>
        <w:rPr>
          <w:rFonts w:ascii="Verdana" w:eastAsia="Times New Roman" w:hAnsi="Verdana" w:cs="Verdana"/>
        </w:rPr>
      </w:pPr>
      <w:r>
        <w:rPr>
          <w:rFonts w:ascii="Verdana" w:eastAsia="Times New Roman" w:hAnsi="Verdana" w:cs="Verdana"/>
        </w:rPr>
        <w:t>"An obligation entered into by two or more persons jointly &amp; severally, so that each is liable severally, an</w:t>
      </w:r>
      <w:r w:rsidR="009D4D52">
        <w:rPr>
          <w:rFonts w:ascii="Verdana" w:eastAsia="Times New Roman" w:hAnsi="Verdana" w:cs="Verdana"/>
        </w:rPr>
        <w:t>d all liable jointly …</w:t>
      </w:r>
      <w:r>
        <w:rPr>
          <w:rFonts w:ascii="Verdana" w:eastAsia="Times New Roman" w:hAnsi="Verdana" w:cs="Verdana"/>
        </w:rPr>
        <w:t>.</w:t>
      </w:r>
      <w:proofErr w:type="gramStart"/>
      <w:r>
        <w:rPr>
          <w:rFonts w:ascii="Verdana" w:eastAsia="Times New Roman" w:hAnsi="Verdana" w:cs="Verdana"/>
        </w:rPr>
        <w:t>".</w:t>
      </w:r>
      <w:proofErr w:type="gramEnd"/>
    </w:p>
    <w:p w:rsidR="009D4D52" w:rsidRDefault="009D4D52"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It follows that Dr. </w:t>
      </w:r>
      <w:proofErr w:type="spellStart"/>
      <w:r>
        <w:rPr>
          <w:rFonts w:ascii="Verdana" w:eastAsia="Times New Roman" w:hAnsi="Verdana" w:cs="Verdana"/>
        </w:rPr>
        <w:t>Balogun</w:t>
      </w:r>
      <w:proofErr w:type="spellEnd"/>
      <w:r>
        <w:rPr>
          <w:rFonts w:ascii="Verdana" w:eastAsia="Times New Roman" w:hAnsi="Verdana" w:cs="Verdana"/>
        </w:rPr>
        <w:t xml:space="preserve"> and Dr. </w:t>
      </w:r>
      <w:proofErr w:type="spellStart"/>
      <w:r>
        <w:rPr>
          <w:rFonts w:ascii="Verdana" w:eastAsia="Times New Roman" w:hAnsi="Verdana" w:cs="Verdana"/>
        </w:rPr>
        <w:t>Oluyori</w:t>
      </w:r>
      <w:proofErr w:type="spellEnd"/>
      <w:r>
        <w:rPr>
          <w:rFonts w:ascii="Verdana" w:eastAsia="Times New Roman" w:hAnsi="Verdana" w:cs="Verdana"/>
        </w:rPr>
        <w:t>, and the appellants are also liable severally for damages for the claim of the respondent. It is not in dispute that a state high court has the jurisdiction to try any civil action against the two doctors under the provisions of section 236 of the 1979 Constitution of Nigeria.</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Having made the point, I now refer to the averments in the Amended Statement of Claim. It reads in part as follows –</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"6.</w:t>
      </w:r>
      <w:r>
        <w:rPr>
          <w:rFonts w:ascii="Verdana" w:eastAsia="Times New Roman" w:hAnsi="Verdana" w:cs="Verdana"/>
        </w:rPr>
        <w:tab/>
        <w:t xml:space="preserve">The plaintiff as an expectant-mother registered at the maternity Wing of the 1st defendant for Ante-Natal care in the 3rd defendant’s firm and also registered at the 3rd defendant’s private clinic to facilitate special </w:t>
      </w:r>
      <w:r>
        <w:rPr>
          <w:rFonts w:ascii="Verdana" w:eastAsia="Times New Roman" w:hAnsi="Verdana" w:cs="Verdana"/>
        </w:rPr>
        <w:lastRenderedPageBreak/>
        <w:t>attention and care for her against the backdrop of the fact that she had previously undergone a caesarian operation.</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7.</w:t>
      </w:r>
      <w:r>
        <w:rPr>
          <w:rFonts w:ascii="Verdana" w:eastAsia="Times New Roman" w:hAnsi="Verdana" w:cs="Verdana"/>
        </w:rPr>
        <w:tab/>
        <w:t>The plaintiff attended both clinics regularly and paid all the charges prescribed thereat fully.</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8.</w:t>
      </w:r>
      <w:r>
        <w:rPr>
          <w:rFonts w:ascii="Verdana" w:eastAsia="Times New Roman" w:hAnsi="Verdana" w:cs="Verdana"/>
        </w:rPr>
        <w:tab/>
        <w:t xml:space="preserve">In or about the morning hours of 28/6/96, the plaintiff fell into labour and the plaintiff with her husband, Mr. Paul </w:t>
      </w:r>
      <w:proofErr w:type="spellStart"/>
      <w:r>
        <w:rPr>
          <w:rFonts w:ascii="Verdana" w:eastAsia="Times New Roman" w:hAnsi="Verdana" w:cs="Verdana"/>
        </w:rPr>
        <w:t>Akilo</w:t>
      </w:r>
      <w:proofErr w:type="spellEnd"/>
      <w:r>
        <w:rPr>
          <w:rFonts w:ascii="Verdana" w:eastAsia="Times New Roman" w:hAnsi="Verdana" w:cs="Verdana"/>
        </w:rPr>
        <w:t>, went to see the 3rd defendant in the latter’s private clinic.</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9.</w:t>
      </w:r>
      <w:r>
        <w:rPr>
          <w:rFonts w:ascii="Verdana" w:eastAsia="Times New Roman" w:hAnsi="Verdana" w:cs="Verdana"/>
        </w:rPr>
        <w:tab/>
        <w:t>The 3rd defendant instructed the plaintiff and the husband to go and wait for him at the Maternity Wing of the 1st defendant after examining the plaintiff at about 10 am.</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10.</w:t>
      </w:r>
      <w:r>
        <w:rPr>
          <w:rFonts w:ascii="Verdana" w:eastAsia="Times New Roman" w:hAnsi="Verdana" w:cs="Verdana"/>
        </w:rPr>
        <w:tab/>
        <w:t>The plaintiff avers that strangely enough, the 3rd defendant did not show up at the Maternity and the plaintiff was for long without the benefit of medical assistance to assuage her from the travails of child labour because the other medical personnel in the maternity left her unattended to on the premise that she was the patient of the 3rd defendant.</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11.</w:t>
      </w:r>
      <w:r>
        <w:rPr>
          <w:rFonts w:ascii="Verdana" w:eastAsia="Times New Roman" w:hAnsi="Verdana" w:cs="Verdana"/>
        </w:rPr>
        <w:tab/>
        <w:t>At about 6.pm of the said 28/6/86, the 4th defendant performed a caesarian operation on the plaintiff to deliver the plaintiff of the baby after the condition of the plaintiff had become very critical and the plaintiff was at the point of death.</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12.</w:t>
      </w:r>
      <w:r>
        <w:rPr>
          <w:rFonts w:ascii="Verdana" w:eastAsia="Times New Roman" w:hAnsi="Verdana" w:cs="Verdana"/>
        </w:rPr>
        <w:tab/>
        <w:t>The plaintiff was later discharged from admission and attending the maternity on the assumption that she was okay but no sooner that she was discharged than the plaintiff started having severe pains and she started vomiting seriously.</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13.</w:t>
      </w:r>
      <w:r>
        <w:rPr>
          <w:rFonts w:ascii="Verdana" w:eastAsia="Times New Roman" w:hAnsi="Verdana" w:cs="Verdana"/>
        </w:rPr>
        <w:tab/>
        <w:t>The plaintiff and her husband consequently went back to the 3rd defendant in his private clinic to lodge a complaint on the precarious health – situation of the plaintiff although they first visited the Teaching Hospital for complaint before doing so.</w:t>
      </w:r>
    </w:p>
    <w:p w:rsidR="00CC4E04" w:rsidRDefault="00E738A9" w:rsidP="009D4D52">
      <w:pPr>
        <w:spacing w:before="240" w:after="0"/>
        <w:ind w:left="720" w:hanging="720"/>
        <w:jc w:val="both"/>
        <w:rPr>
          <w:rFonts w:ascii="Verdana" w:eastAsia="Times New Roman" w:hAnsi="Verdana" w:cs="Verdana"/>
        </w:rPr>
      </w:pPr>
      <w:r>
        <w:rPr>
          <w:rFonts w:ascii="Verdana" w:eastAsia="Times New Roman" w:hAnsi="Verdana" w:cs="Verdana"/>
        </w:rPr>
        <w:t>14.</w:t>
      </w:r>
      <w:r>
        <w:rPr>
          <w:rFonts w:ascii="Verdana" w:eastAsia="Times New Roman" w:hAnsi="Verdana" w:cs="Verdana"/>
        </w:rPr>
        <w:tab/>
        <w:t>The 3rd defendant ordered X ray and ultrasound tests which the plaintiff undertook after paying the charges thereof at the Teaching Hospital (Maternity Wing) and the result of which the plaintiff and her husband took back to the 3rd defendant at the Maternity.</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think it is convenient to stop here. It is my understanding of the claim that it is based on tort. </w:t>
      </w:r>
      <w:proofErr w:type="spellStart"/>
      <w:r>
        <w:rPr>
          <w:rFonts w:ascii="Verdana" w:eastAsia="Times New Roman" w:hAnsi="Verdana" w:cs="Verdana"/>
        </w:rPr>
        <w:t>Tortious</w:t>
      </w:r>
      <w:proofErr w:type="spellEnd"/>
      <w:r>
        <w:rPr>
          <w:rFonts w:ascii="Verdana" w:eastAsia="Times New Roman" w:hAnsi="Verdana" w:cs="Verdana"/>
        </w:rPr>
        <w:t xml:space="preserve"> liability arises from the breach of a duty primarily fixed by the law. Such a duty is towards persons generally and its breach is </w:t>
      </w:r>
      <w:proofErr w:type="spellStart"/>
      <w:r>
        <w:rPr>
          <w:rFonts w:ascii="Verdana" w:eastAsia="Times New Roman" w:hAnsi="Verdana" w:cs="Verdana"/>
        </w:rPr>
        <w:t>redressible</w:t>
      </w:r>
      <w:proofErr w:type="spellEnd"/>
      <w:r>
        <w:rPr>
          <w:rFonts w:ascii="Verdana" w:eastAsia="Times New Roman" w:hAnsi="Verdana" w:cs="Verdana"/>
        </w:rPr>
        <w:t xml:space="preserve"> by an action for </w:t>
      </w:r>
      <w:proofErr w:type="spellStart"/>
      <w:r>
        <w:rPr>
          <w:rFonts w:ascii="Verdana" w:eastAsia="Times New Roman" w:hAnsi="Verdana" w:cs="Verdana"/>
        </w:rPr>
        <w:t>unliquidated</w:t>
      </w:r>
      <w:proofErr w:type="spellEnd"/>
      <w:r>
        <w:rPr>
          <w:rFonts w:ascii="Verdana" w:eastAsia="Times New Roman" w:hAnsi="Verdana" w:cs="Verdana"/>
        </w:rPr>
        <w:t xml:space="preserve"> damages. It is accepted that not only is a person liable for torts committed by </w:t>
      </w:r>
      <w:proofErr w:type="gramStart"/>
      <w:r>
        <w:rPr>
          <w:rFonts w:ascii="Verdana" w:eastAsia="Times New Roman" w:hAnsi="Verdana" w:cs="Verdana"/>
        </w:rPr>
        <w:t>himself</w:t>
      </w:r>
      <w:proofErr w:type="gramEnd"/>
      <w:r>
        <w:rPr>
          <w:rFonts w:ascii="Verdana" w:eastAsia="Times New Roman" w:hAnsi="Verdana" w:cs="Verdana"/>
        </w:rPr>
        <w:t>. He is also subject to certain conditions liable for torts committed by persons acting or purporting to act on his behalf. It has been identified that there are two important classes of persons for whose tort another person may be liable. These are servants and independent contractors. Both classes consist of persons employed to do work for their masters. The distinction between them is taken to lie in the different amounts of control exercisable by the employer.</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In the present suit, it is common ground that the 3rd and 4th defendants are employees of the appellants. They were employed as medical doctors. At the time, material to this suit, they discharged their duties as medical doctors. It does seem to me that while discharging their duties as medical doctors they were not under the control or management of the appellants. They are therefore individually liable for any tort they might have committed in the course of discharging such duty.</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A state High Court has the jurisdiction to determine such a case. In addition, I observe that the respondent averred in her amended Statement of Claim that she attended the private clinic of the 3rd defendant. Until evidence is given in the case, there is nothing before us to show whether the alleged negligence was committed in the private clinic or in the Maternity of the appellants or in both the Maternity and the Clinic. This is an issue that has to be determined by the court that hears the suit.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This court was referred to a number of cases by the learned counsel for the parties. The decisions in the cases are based on the peculiar facts of the cases. These facts are not the same in the present case.</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There is no doubt that from the opening paragraph of section 230(1)(q) of the 1979 Constitution of the Federal Republic of Nigeria i.e. – ("Notwithstanding </w:t>
      </w:r>
      <w:proofErr w:type="spellStart"/>
      <w:r>
        <w:rPr>
          <w:rFonts w:ascii="Verdana" w:eastAsia="Times New Roman" w:hAnsi="Verdana" w:cs="Verdana"/>
        </w:rPr>
        <w:t>any thing</w:t>
      </w:r>
      <w:proofErr w:type="spellEnd"/>
      <w:r>
        <w:rPr>
          <w:rFonts w:ascii="Verdana" w:eastAsia="Times New Roman" w:hAnsi="Verdana" w:cs="Verdana"/>
        </w:rPr>
        <w:t xml:space="preserve"> to the contrary contained in the Constitution etc."), it is intended to give the Federal high Courts exclusive jurisdiction in matters specified in the section to the exclusion of any other court. For the purposes of clarification the matters specified in the section in respect of the present suit are –</w:t>
      </w:r>
    </w:p>
    <w:p w:rsidR="00CC4E04" w:rsidRDefault="00E738A9" w:rsidP="00CF4986">
      <w:pPr>
        <w:spacing w:before="240" w:after="0"/>
        <w:ind w:left="720" w:hanging="720"/>
        <w:jc w:val="both"/>
        <w:rPr>
          <w:rFonts w:ascii="Verdana" w:eastAsia="Times New Roman" w:hAnsi="Verdana" w:cs="Verdana"/>
        </w:rPr>
      </w:pPr>
      <w:r>
        <w:rPr>
          <w:rFonts w:ascii="Verdana" w:eastAsia="Times New Roman" w:hAnsi="Verdana" w:cs="Verdana"/>
        </w:rPr>
        <w:t>"(a)</w:t>
      </w:r>
      <w:r>
        <w:rPr>
          <w:rFonts w:ascii="Verdana" w:eastAsia="Times New Roman" w:hAnsi="Verdana" w:cs="Verdana"/>
        </w:rPr>
        <w:tab/>
      </w:r>
      <w:proofErr w:type="gramStart"/>
      <w:r>
        <w:rPr>
          <w:rFonts w:ascii="Verdana" w:eastAsia="Times New Roman" w:hAnsi="Verdana" w:cs="Verdana"/>
        </w:rPr>
        <w:t>The</w:t>
      </w:r>
      <w:proofErr w:type="gramEnd"/>
      <w:r>
        <w:rPr>
          <w:rFonts w:ascii="Verdana" w:eastAsia="Times New Roman" w:hAnsi="Verdana" w:cs="Verdana"/>
        </w:rPr>
        <w:t xml:space="preserve"> administration or the management and control of the Federal Government or any of its agencies".</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It is clear that the section does not provide that whenever any action is brought against the Federal Government or its agencies it must be instituted in the Federal High Court. In my considered view, whether the jurisdiction of a State High Court is ousted in an action against the Federal Government or any of its agencies in a particular case depends solely on the nature of complaint against the Federal Government or the agency concerned. To hold otherwise will be reading into the section what is not there.</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It is my view that a medical practitioner in the appellants’ establishment is liable in negligence if without due care and skill resulting in error of treatment he, for example describes fractures as dislocations and dislocations as fractures. The liability of the appellant in that case, is in essence determined by the law of master and servant.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It cannot be argued seriously that in the above hypothetical case the wrong diagnosis is in any way linked to "administration or the management and control" on the part of the appellants. It is a case of professional negligence. That is the case here.</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lastRenderedPageBreak/>
        <w:t xml:space="preserve">In the end, I find no merit in this appeal. I dismiss it. The ruling of </w:t>
      </w:r>
      <w:proofErr w:type="spellStart"/>
      <w:r>
        <w:rPr>
          <w:rFonts w:ascii="Verdana" w:eastAsia="Times New Roman" w:hAnsi="Verdana" w:cs="Verdana"/>
        </w:rPr>
        <w:t>Gbadeyan</w:t>
      </w:r>
      <w:proofErr w:type="spellEnd"/>
      <w:r>
        <w:rPr>
          <w:rFonts w:ascii="Verdana" w:eastAsia="Times New Roman" w:hAnsi="Verdana" w:cs="Verdana"/>
        </w:rPr>
        <w:t xml:space="preserve"> J., delivered on 23rd day June 1999, is hereby affirmed. The respondent is entitled to costs of this appeal which I assess at N3, 000.00.</w:t>
      </w:r>
    </w:p>
    <w:p w:rsidR="00CC4E04" w:rsidRDefault="00CC4E04" w:rsidP="00EF4813">
      <w:pPr>
        <w:spacing w:before="240" w:after="0"/>
        <w:jc w:val="both"/>
        <w:rPr>
          <w:rFonts w:ascii="Verdana" w:eastAsia="Times New Roman" w:hAnsi="Verdana" w:cs="Verdana"/>
          <w:b/>
          <w:bCs/>
        </w:rPr>
      </w:pPr>
    </w:p>
    <w:p w:rsidR="00CF4986" w:rsidRDefault="00CF4986" w:rsidP="00EF4813">
      <w:pPr>
        <w:spacing w:before="240" w:after="0"/>
        <w:jc w:val="both"/>
        <w:rPr>
          <w:rFonts w:ascii="Verdana" w:eastAsia="Times New Roman" w:hAnsi="Verdana" w:cs="Verdana"/>
          <w:b/>
          <w:bCs/>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b/>
          <w:bCs/>
        </w:rPr>
        <w:t>MURITALA AREMU OKUNOLA, JCA.</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have had the advantage of reading before now the leading judgment of my learned brother </w:t>
      </w:r>
      <w:proofErr w:type="spellStart"/>
      <w:r>
        <w:rPr>
          <w:rFonts w:ascii="Verdana" w:eastAsia="Times New Roman" w:hAnsi="Verdana" w:cs="Verdana"/>
        </w:rPr>
        <w:t>Amaizu</w:t>
      </w:r>
      <w:proofErr w:type="spellEnd"/>
      <w:r>
        <w:rPr>
          <w:rFonts w:ascii="Verdana" w:eastAsia="Times New Roman" w:hAnsi="Verdana" w:cs="Verdana"/>
        </w:rPr>
        <w:t>, JCA. I agree with the facts of the case as narrated by my learned brother. I also agree with his reasoning and conclusion that the appeal lacks merit and same should be dismissed. I too dismiss the appeal. I abide by the consequential orders in the leading judgment including the order as to costs.</w:t>
      </w:r>
    </w:p>
    <w:p w:rsidR="00CC4E04" w:rsidRDefault="00CC4E04" w:rsidP="00EF4813">
      <w:pPr>
        <w:spacing w:before="240" w:after="0"/>
        <w:jc w:val="both"/>
        <w:rPr>
          <w:rFonts w:ascii="Verdana" w:eastAsia="Times New Roman" w:hAnsi="Verdana" w:cs="Verdana"/>
          <w:b/>
          <w:bCs/>
        </w:rPr>
      </w:pPr>
    </w:p>
    <w:p w:rsidR="00CF4986" w:rsidRDefault="00CF4986" w:rsidP="00EF4813">
      <w:pPr>
        <w:spacing w:before="240" w:after="0"/>
        <w:jc w:val="both"/>
        <w:rPr>
          <w:rFonts w:ascii="Verdana" w:eastAsia="Times New Roman" w:hAnsi="Verdana" w:cs="Verdana"/>
          <w:b/>
          <w:bCs/>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b/>
          <w:bCs/>
        </w:rPr>
        <w:t>WALTER S.N. ONNOGHEN, JCA.</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have had the advantage of reading in draft the lead judgment just delivered by my learned brother, </w:t>
      </w:r>
      <w:proofErr w:type="spellStart"/>
      <w:r>
        <w:rPr>
          <w:rFonts w:ascii="Verdana" w:eastAsia="Times New Roman" w:hAnsi="Verdana" w:cs="Verdana"/>
        </w:rPr>
        <w:t>Amaizu</w:t>
      </w:r>
      <w:proofErr w:type="spellEnd"/>
      <w:r>
        <w:rPr>
          <w:rFonts w:ascii="Verdana" w:eastAsia="Times New Roman" w:hAnsi="Verdana" w:cs="Verdana"/>
        </w:rPr>
        <w:t>, JCA.</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I agree with his reasoning and conclusion that this appeal lacks merit and should be dismissed and I have nothing to add.</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I also dismiss the appeal and abide by the consequential orders made in the lead judgment of my learned brother </w:t>
      </w:r>
      <w:proofErr w:type="spellStart"/>
      <w:r>
        <w:rPr>
          <w:rFonts w:ascii="Verdana" w:eastAsia="Times New Roman" w:hAnsi="Verdana" w:cs="Verdana"/>
        </w:rPr>
        <w:t>Amaizu</w:t>
      </w:r>
      <w:proofErr w:type="spellEnd"/>
      <w:r>
        <w:rPr>
          <w:rFonts w:ascii="Verdana" w:eastAsia="Times New Roman" w:hAnsi="Verdana" w:cs="Verdana"/>
        </w:rPr>
        <w:t>, JCA, including the order as to cost.</w:t>
      </w:r>
    </w:p>
    <w:p w:rsidR="00CC4E04" w:rsidRDefault="00CC4E04" w:rsidP="00EF4813">
      <w:pPr>
        <w:spacing w:before="240" w:after="0"/>
        <w:jc w:val="both"/>
        <w:rPr>
          <w:rFonts w:ascii="Verdana" w:eastAsia="Times New Roman" w:hAnsi="Verdana" w:cs="Verdana"/>
        </w:rPr>
      </w:pPr>
    </w:p>
    <w:p w:rsidR="00CC4E04" w:rsidRDefault="00E738A9" w:rsidP="00EF4813">
      <w:pPr>
        <w:spacing w:before="240" w:after="0"/>
        <w:jc w:val="both"/>
        <w:rPr>
          <w:rFonts w:ascii="Verdana" w:eastAsia="Times New Roman" w:hAnsi="Verdana" w:cs="Verdana"/>
        </w:rPr>
      </w:pPr>
      <w:r>
        <w:rPr>
          <w:rFonts w:ascii="Verdana" w:eastAsia="Times New Roman" w:hAnsi="Verdana" w:cs="Verdana"/>
        </w:rPr>
        <w:lastRenderedPageBreak/>
        <w:t>Appeal dismissed.</w:t>
      </w:r>
    </w:p>
    <w:p w:rsidR="00CC4E04" w:rsidRDefault="00CC4E04" w:rsidP="00EF4813">
      <w:pPr>
        <w:spacing w:before="240" w:after="0"/>
        <w:jc w:val="both"/>
        <w:rPr>
          <w:rFonts w:ascii="Verdana" w:eastAsia="Times New Roman" w:hAnsi="Verdana" w:cs="Verdana"/>
          <w:b/>
          <w:bCs/>
        </w:rPr>
      </w:pPr>
    </w:p>
    <w:p w:rsidR="00CC4E04" w:rsidRDefault="00CC4E04" w:rsidP="00EF4813">
      <w:pPr>
        <w:spacing w:before="240" w:after="0"/>
        <w:jc w:val="both"/>
        <w:rPr>
          <w:rFonts w:ascii="Verdana" w:eastAsia="Times New Roman" w:hAnsi="Verdana" w:cs="Verdana"/>
        </w:rPr>
      </w:pPr>
    </w:p>
    <w:p w:rsidR="00CC4E04" w:rsidRDefault="00CF4986" w:rsidP="00EF4813">
      <w:pPr>
        <w:spacing w:before="240" w:after="0"/>
        <w:jc w:val="both"/>
        <w:rPr>
          <w:rFonts w:ascii="Verdana" w:eastAsia="Times New Roman" w:hAnsi="Verdana" w:cs="Verdana"/>
        </w:rPr>
      </w:pPr>
      <w:r>
        <w:rPr>
          <w:rFonts w:ascii="Verdana" w:eastAsia="Times New Roman" w:hAnsi="Verdana" w:cs="Verdana"/>
        </w:rPr>
        <w:t>CASES REFERRED TO IN THE JUDGMENT</w:t>
      </w:r>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Akinfolarin</w:t>
      </w:r>
      <w:proofErr w:type="spellEnd"/>
      <w:r>
        <w:rPr>
          <w:rFonts w:ascii="Verdana" w:eastAsia="Times New Roman" w:hAnsi="Verdana" w:cs="Verdana"/>
        </w:rPr>
        <w:t xml:space="preserve"> v. </w:t>
      </w:r>
      <w:proofErr w:type="spellStart"/>
      <w:r>
        <w:rPr>
          <w:rFonts w:ascii="Verdana" w:eastAsia="Times New Roman" w:hAnsi="Verdana" w:cs="Verdana"/>
        </w:rPr>
        <w:t>Akinnola</w:t>
      </w:r>
      <w:proofErr w:type="spellEnd"/>
      <w:r>
        <w:rPr>
          <w:rFonts w:ascii="Verdana" w:eastAsia="Times New Roman" w:hAnsi="Verdana" w:cs="Verdana"/>
        </w:rPr>
        <w:t xml:space="preserve"> (1994) 4 S.C.N.J. 30; (1994) 3 NWLR (Pt. 335) 659.</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Ali v. C.B.N. (1997) 4 N.W.L.R. (Pt. 498) 92.</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Anya v. </w:t>
      </w:r>
      <w:proofErr w:type="spellStart"/>
      <w:r>
        <w:rPr>
          <w:rFonts w:ascii="Verdana" w:eastAsia="Times New Roman" w:hAnsi="Verdana" w:cs="Verdana"/>
        </w:rPr>
        <w:t>Iyayi</w:t>
      </w:r>
      <w:proofErr w:type="spellEnd"/>
      <w:r>
        <w:rPr>
          <w:rFonts w:ascii="Verdana" w:eastAsia="Times New Roman" w:hAnsi="Verdana" w:cs="Verdana"/>
        </w:rPr>
        <w:t xml:space="preserve"> (1993) 9 S.C.N.J. 53.</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Aqua Ltd. v. Ondo State Sports Council (1988) 4 NWLR (Pt. 91) 622.</w:t>
      </w:r>
      <w:proofErr w:type="gramEnd"/>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Awolowo</w:t>
      </w:r>
      <w:proofErr w:type="spellEnd"/>
      <w:r>
        <w:rPr>
          <w:rFonts w:ascii="Verdana" w:eastAsia="Times New Roman" w:hAnsi="Verdana" w:cs="Verdana"/>
        </w:rPr>
        <w:t xml:space="preserve"> v. </w:t>
      </w:r>
      <w:proofErr w:type="spellStart"/>
      <w:r>
        <w:rPr>
          <w:rFonts w:ascii="Verdana" w:eastAsia="Times New Roman" w:hAnsi="Verdana" w:cs="Verdana"/>
        </w:rPr>
        <w:t>Shagari</w:t>
      </w:r>
      <w:proofErr w:type="spellEnd"/>
      <w:r>
        <w:rPr>
          <w:rFonts w:ascii="Verdana" w:eastAsia="Times New Roman" w:hAnsi="Verdana" w:cs="Verdana"/>
        </w:rPr>
        <w:t xml:space="preserve"> (1979) 6-9 S.C. 51.</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F.S. </w:t>
      </w:r>
      <w:proofErr w:type="spellStart"/>
      <w:r>
        <w:rPr>
          <w:rFonts w:ascii="Verdana" w:eastAsia="Times New Roman" w:hAnsi="Verdana" w:cs="Verdana"/>
        </w:rPr>
        <w:t>Uwaifo</w:t>
      </w:r>
      <w:proofErr w:type="spellEnd"/>
      <w:r>
        <w:rPr>
          <w:rFonts w:ascii="Verdana" w:eastAsia="Times New Roman" w:hAnsi="Verdana" w:cs="Verdana"/>
        </w:rPr>
        <w:t xml:space="preserve"> v. A.G. Bendel State &amp; Ors.</w:t>
      </w:r>
      <w:proofErr w:type="gramEnd"/>
      <w:r>
        <w:rPr>
          <w:rFonts w:ascii="Verdana" w:eastAsia="Times New Roman" w:hAnsi="Verdana" w:cs="Verdana"/>
        </w:rPr>
        <w:t xml:space="preserve"> </w:t>
      </w:r>
      <w:proofErr w:type="gramStart"/>
      <w:r>
        <w:rPr>
          <w:rFonts w:ascii="Verdana" w:eastAsia="Times New Roman" w:hAnsi="Verdana" w:cs="Verdana"/>
        </w:rPr>
        <w:t>(1982) N.S.C.C. 221 (1982) 7 S.C. 124.</w:t>
      </w:r>
      <w:proofErr w:type="gramEnd"/>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Fasakin</w:t>
      </w:r>
      <w:proofErr w:type="spellEnd"/>
      <w:r>
        <w:rPr>
          <w:rFonts w:ascii="Verdana" w:eastAsia="Times New Roman" w:hAnsi="Verdana" w:cs="Verdana"/>
        </w:rPr>
        <w:t xml:space="preserve"> v. </w:t>
      </w:r>
      <w:proofErr w:type="spellStart"/>
      <w:r>
        <w:rPr>
          <w:rFonts w:ascii="Verdana" w:eastAsia="Times New Roman" w:hAnsi="Verdana" w:cs="Verdana"/>
        </w:rPr>
        <w:t>Fasakin</w:t>
      </w:r>
      <w:proofErr w:type="spellEnd"/>
      <w:r>
        <w:rPr>
          <w:rFonts w:ascii="Verdana" w:eastAsia="Times New Roman" w:hAnsi="Verdana" w:cs="Verdana"/>
        </w:rPr>
        <w:t xml:space="preserve"> (1994) 4 NWLR (Pt. 340) 597.</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Federal Mortgage Bank of Nigeria v. Nigeria Deposit Insurance Corporation (1999) 2 S.C.N.J. 57.</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Fred </w:t>
      </w:r>
      <w:proofErr w:type="spellStart"/>
      <w:r>
        <w:rPr>
          <w:rFonts w:ascii="Verdana" w:eastAsia="Times New Roman" w:hAnsi="Verdana" w:cs="Verdana"/>
        </w:rPr>
        <w:t>Egbe</w:t>
      </w:r>
      <w:proofErr w:type="spellEnd"/>
      <w:r>
        <w:rPr>
          <w:rFonts w:ascii="Verdana" w:eastAsia="Times New Roman" w:hAnsi="Verdana" w:cs="Verdana"/>
        </w:rPr>
        <w:t xml:space="preserve"> v. M.D. Yusuf (1992) 6 N.W.L.R. (Pt. 245)1.</w:t>
      </w:r>
      <w:proofErr w:type="gramEnd"/>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Kotoye</w:t>
      </w:r>
      <w:proofErr w:type="spellEnd"/>
      <w:r>
        <w:rPr>
          <w:rFonts w:ascii="Verdana" w:eastAsia="Times New Roman" w:hAnsi="Verdana" w:cs="Verdana"/>
        </w:rPr>
        <w:t xml:space="preserve"> v. </w:t>
      </w:r>
      <w:proofErr w:type="spellStart"/>
      <w:r>
        <w:rPr>
          <w:rFonts w:ascii="Verdana" w:eastAsia="Times New Roman" w:hAnsi="Verdana" w:cs="Verdana"/>
        </w:rPr>
        <w:t>Saraki</w:t>
      </w:r>
      <w:proofErr w:type="spellEnd"/>
      <w:r>
        <w:rPr>
          <w:rFonts w:ascii="Verdana" w:eastAsia="Times New Roman" w:hAnsi="Verdana" w:cs="Verdana"/>
        </w:rPr>
        <w:t xml:space="preserve"> (1994) 7-8 SCNJ 524.</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Military Governor of </w:t>
      </w:r>
      <w:proofErr w:type="spellStart"/>
      <w:r>
        <w:rPr>
          <w:rFonts w:ascii="Verdana" w:eastAsia="Times New Roman" w:hAnsi="Verdana" w:cs="Verdana"/>
        </w:rPr>
        <w:t>Ondo</w:t>
      </w:r>
      <w:proofErr w:type="spellEnd"/>
      <w:r>
        <w:rPr>
          <w:rFonts w:ascii="Verdana" w:eastAsia="Times New Roman" w:hAnsi="Verdana" w:cs="Verdana"/>
        </w:rPr>
        <w:t xml:space="preserve"> </w:t>
      </w:r>
      <w:proofErr w:type="spellStart"/>
      <w:r>
        <w:rPr>
          <w:rFonts w:ascii="Verdana" w:eastAsia="Times New Roman" w:hAnsi="Verdana" w:cs="Verdana"/>
        </w:rPr>
        <w:t>Statev</w:t>
      </w:r>
      <w:proofErr w:type="spellEnd"/>
      <w:r>
        <w:rPr>
          <w:rFonts w:ascii="Verdana" w:eastAsia="Times New Roman" w:hAnsi="Verdana" w:cs="Verdana"/>
        </w:rPr>
        <w:t>.</w:t>
      </w:r>
      <w:proofErr w:type="gramEnd"/>
      <w:r>
        <w:rPr>
          <w:rFonts w:ascii="Verdana" w:eastAsia="Times New Roman" w:hAnsi="Verdana" w:cs="Verdana"/>
        </w:rPr>
        <w:t xml:space="preserve"> </w:t>
      </w:r>
      <w:proofErr w:type="spellStart"/>
      <w:proofErr w:type="gramStart"/>
      <w:r>
        <w:rPr>
          <w:rFonts w:ascii="Verdana" w:eastAsia="Times New Roman" w:hAnsi="Verdana" w:cs="Verdana"/>
        </w:rPr>
        <w:t>Adewunmi</w:t>
      </w:r>
      <w:proofErr w:type="spellEnd"/>
      <w:r>
        <w:rPr>
          <w:rFonts w:ascii="Verdana" w:eastAsia="Times New Roman" w:hAnsi="Verdana" w:cs="Verdana"/>
        </w:rPr>
        <w:t xml:space="preserve"> (1988) 3 N.W.L.R. (Pt. 82) 280.</w:t>
      </w:r>
      <w:proofErr w:type="gramEnd"/>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t xml:space="preserve">Mrs. Theresa </w:t>
      </w:r>
      <w:proofErr w:type="spellStart"/>
      <w:r>
        <w:rPr>
          <w:rFonts w:ascii="Verdana" w:eastAsia="Times New Roman" w:hAnsi="Verdana" w:cs="Verdana"/>
        </w:rPr>
        <w:t>Akilo</w:t>
      </w:r>
      <w:proofErr w:type="spellEnd"/>
      <w:r>
        <w:rPr>
          <w:rFonts w:ascii="Verdana" w:eastAsia="Times New Roman" w:hAnsi="Verdana" w:cs="Verdana"/>
        </w:rPr>
        <w:t xml:space="preserve"> v. University of Ilorin Teaching Hospital and 3 others (unreported) suit No.</w:t>
      </w:r>
      <w:proofErr w:type="gramEnd"/>
      <w:r>
        <w:rPr>
          <w:rFonts w:ascii="Verdana" w:eastAsia="Times New Roman" w:hAnsi="Verdana" w:cs="Verdana"/>
        </w:rPr>
        <w:t xml:space="preserve"> </w:t>
      </w:r>
      <w:proofErr w:type="gramStart"/>
      <w:r>
        <w:rPr>
          <w:rFonts w:ascii="Verdana" w:eastAsia="Times New Roman" w:hAnsi="Verdana" w:cs="Verdana"/>
        </w:rPr>
        <w:t>KW/273/96.</w:t>
      </w:r>
      <w:proofErr w:type="gramEnd"/>
    </w:p>
    <w:p w:rsidR="00CC4E04" w:rsidRDefault="00E738A9" w:rsidP="00EF4813">
      <w:pPr>
        <w:spacing w:before="240" w:after="0"/>
        <w:jc w:val="both"/>
        <w:rPr>
          <w:rFonts w:ascii="Verdana" w:eastAsia="Times New Roman" w:hAnsi="Verdana" w:cs="Verdana"/>
        </w:rPr>
      </w:pPr>
      <w:proofErr w:type="spellStart"/>
      <w:proofErr w:type="gramStart"/>
      <w:r>
        <w:rPr>
          <w:rFonts w:ascii="Verdana" w:eastAsia="Times New Roman" w:hAnsi="Verdana" w:cs="Verdana"/>
        </w:rPr>
        <w:t>Oyenucheya</w:t>
      </w:r>
      <w:proofErr w:type="spellEnd"/>
      <w:r>
        <w:rPr>
          <w:rFonts w:ascii="Verdana" w:eastAsia="Times New Roman" w:hAnsi="Verdana" w:cs="Verdana"/>
        </w:rPr>
        <w:t xml:space="preserve"> v. Military Administrator, Imo State (1997) 1 N.W.L.R. (Pt. 482.)</w:t>
      </w:r>
      <w:proofErr w:type="gramEnd"/>
      <w:r>
        <w:rPr>
          <w:rFonts w:ascii="Verdana" w:eastAsia="Times New Roman" w:hAnsi="Verdana" w:cs="Verdana"/>
        </w:rPr>
        <w:t xml:space="preserve"> 429.</w:t>
      </w:r>
    </w:p>
    <w:p w:rsidR="00CC4E04" w:rsidRDefault="00E738A9" w:rsidP="00EF4813">
      <w:pPr>
        <w:spacing w:before="240" w:after="0"/>
        <w:jc w:val="both"/>
        <w:rPr>
          <w:rFonts w:ascii="Verdana" w:eastAsia="Times New Roman" w:hAnsi="Verdana" w:cs="Verdana"/>
        </w:rPr>
      </w:pPr>
      <w:proofErr w:type="gramStart"/>
      <w:r>
        <w:rPr>
          <w:rFonts w:ascii="Verdana" w:eastAsia="Times New Roman" w:hAnsi="Verdana" w:cs="Verdana"/>
        </w:rPr>
        <w:lastRenderedPageBreak/>
        <w:t xml:space="preserve">University of Abuja v. Prof. </w:t>
      </w:r>
      <w:proofErr w:type="spellStart"/>
      <w:r>
        <w:rPr>
          <w:rFonts w:ascii="Verdana" w:eastAsia="Times New Roman" w:hAnsi="Verdana" w:cs="Verdana"/>
        </w:rPr>
        <w:t>Ologe</w:t>
      </w:r>
      <w:proofErr w:type="spellEnd"/>
      <w:r>
        <w:rPr>
          <w:rFonts w:ascii="Verdana" w:eastAsia="Times New Roman" w:hAnsi="Verdana" w:cs="Verdana"/>
        </w:rPr>
        <w:t xml:space="preserve"> (1996) 4 NWLR (Pt. 445) 706.</w:t>
      </w:r>
      <w:proofErr w:type="gramEnd"/>
    </w:p>
    <w:p w:rsidR="00CC4E04" w:rsidRDefault="00CC4E04" w:rsidP="00EF4813">
      <w:pPr>
        <w:spacing w:before="240" w:after="0"/>
        <w:jc w:val="both"/>
        <w:rPr>
          <w:rFonts w:ascii="Verdana" w:eastAsia="Times New Roman" w:hAnsi="Verdana" w:cs="Verdana"/>
        </w:rPr>
      </w:pPr>
    </w:p>
    <w:p w:rsidR="00CC4E04" w:rsidRDefault="00CF4986" w:rsidP="00EF4813">
      <w:pPr>
        <w:spacing w:before="240" w:after="0"/>
        <w:jc w:val="both"/>
        <w:rPr>
          <w:rFonts w:ascii="Verdana" w:eastAsia="Times New Roman" w:hAnsi="Verdana" w:cs="Verdana"/>
        </w:rPr>
      </w:pPr>
      <w:r>
        <w:rPr>
          <w:rFonts w:ascii="Verdana" w:eastAsia="Times New Roman" w:hAnsi="Verdana" w:cs="Verdana"/>
        </w:rPr>
        <w:t>STATUTE REFERRED TO IN THE JUDGMENT</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 xml:space="preserve">The Constitution of the Federal Republic of Nigeria 1979 </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Constitution (suspension &amp; Modification) Decree 107 of 1993; S.S 230(1</w:t>
      </w:r>
      <w:proofErr w:type="gramStart"/>
      <w:r>
        <w:rPr>
          <w:rFonts w:ascii="Verdana" w:eastAsia="Times New Roman" w:hAnsi="Verdana" w:cs="Verdana"/>
        </w:rPr>
        <w:t>)(</w:t>
      </w:r>
      <w:proofErr w:type="gramEnd"/>
      <w:r>
        <w:rPr>
          <w:rFonts w:ascii="Verdana" w:eastAsia="Times New Roman" w:hAnsi="Verdana" w:cs="Verdana"/>
        </w:rPr>
        <w:t>d) (q); 236.</w:t>
      </w:r>
    </w:p>
    <w:p w:rsidR="00CC4E04" w:rsidRDefault="00E738A9" w:rsidP="00EF4813">
      <w:pPr>
        <w:spacing w:before="240" w:after="0"/>
        <w:jc w:val="both"/>
        <w:rPr>
          <w:rFonts w:ascii="Verdana" w:eastAsia="Times New Roman" w:hAnsi="Verdana" w:cs="Verdana"/>
        </w:rPr>
      </w:pPr>
      <w:r>
        <w:rPr>
          <w:rFonts w:ascii="Verdana" w:eastAsia="Times New Roman" w:hAnsi="Verdana" w:cs="Verdana"/>
        </w:rPr>
        <w:t>The Constitution of the Federal Republic of Nigeria, 1999; S. 251(1</w:t>
      </w:r>
      <w:proofErr w:type="gramStart"/>
      <w:r>
        <w:rPr>
          <w:rFonts w:ascii="Verdana" w:eastAsia="Times New Roman" w:hAnsi="Verdana" w:cs="Verdana"/>
        </w:rPr>
        <w:t>)(</w:t>
      </w:r>
      <w:proofErr w:type="gramEnd"/>
      <w:r>
        <w:rPr>
          <w:rFonts w:ascii="Verdana" w:eastAsia="Times New Roman" w:hAnsi="Verdana" w:cs="Verdana"/>
        </w:rPr>
        <w:t>p).</w:t>
      </w:r>
    </w:p>
    <w:p w:rsidR="00CC4E04" w:rsidRDefault="00CC4E04" w:rsidP="00EF4813">
      <w:pPr>
        <w:spacing w:before="240"/>
        <w:jc w:val="both"/>
        <w:rPr>
          <w:rFonts w:ascii="Verdana" w:hAnsi="Verdana" w:cs="Verdana"/>
        </w:rPr>
      </w:pPr>
    </w:p>
    <w:p w:rsidR="00CC4E04" w:rsidRDefault="00CC4E04" w:rsidP="00EF4813">
      <w:pPr>
        <w:spacing w:before="240"/>
        <w:jc w:val="both"/>
        <w:rPr>
          <w:rFonts w:ascii="Verdana" w:hAnsi="Verdana" w:cs="Verdana"/>
        </w:rPr>
      </w:pPr>
    </w:p>
    <w:sectPr w:rsidR="00CC4E04" w:rsidSect="00CF6C2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A972C8"/>
    <w:rsid w:val="000D017A"/>
    <w:rsid w:val="000E5567"/>
    <w:rsid w:val="001628B8"/>
    <w:rsid w:val="001B124F"/>
    <w:rsid w:val="00252BA3"/>
    <w:rsid w:val="00291C80"/>
    <w:rsid w:val="003F4429"/>
    <w:rsid w:val="003F7E58"/>
    <w:rsid w:val="00424981"/>
    <w:rsid w:val="004F1A32"/>
    <w:rsid w:val="00566038"/>
    <w:rsid w:val="0059562D"/>
    <w:rsid w:val="006A1FA9"/>
    <w:rsid w:val="006D0E4F"/>
    <w:rsid w:val="00757325"/>
    <w:rsid w:val="00762964"/>
    <w:rsid w:val="007A46D5"/>
    <w:rsid w:val="007D52CB"/>
    <w:rsid w:val="007F00C6"/>
    <w:rsid w:val="008F163C"/>
    <w:rsid w:val="00952E7D"/>
    <w:rsid w:val="009755D4"/>
    <w:rsid w:val="00976F2D"/>
    <w:rsid w:val="009A117C"/>
    <w:rsid w:val="009B230B"/>
    <w:rsid w:val="009D4D52"/>
    <w:rsid w:val="00A4302B"/>
    <w:rsid w:val="00A55C60"/>
    <w:rsid w:val="00A972C8"/>
    <w:rsid w:val="00B73937"/>
    <w:rsid w:val="00C86DEC"/>
    <w:rsid w:val="00CB7F4A"/>
    <w:rsid w:val="00CC4E04"/>
    <w:rsid w:val="00CF4986"/>
    <w:rsid w:val="00CF6C28"/>
    <w:rsid w:val="00D44F5C"/>
    <w:rsid w:val="00D82FE4"/>
    <w:rsid w:val="00E23CEC"/>
    <w:rsid w:val="00E738A9"/>
    <w:rsid w:val="00E756B2"/>
    <w:rsid w:val="00EF4813"/>
    <w:rsid w:val="00F83C16"/>
    <w:rsid w:val="00F94EE5"/>
    <w:rsid w:val="4A634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E04"/>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1">
    <w:name w:val="defaultparagraph-1"/>
    <w:basedOn w:val="Normal"/>
    <w:rsid w:val="00CC4E04"/>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1cntr">
    <w:name w:val="t1cntr"/>
    <w:basedOn w:val="Normal"/>
    <w:rsid w:val="00CC4E0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apple-converted-space">
    <w:name w:val="apple-converted-space"/>
    <w:basedOn w:val="DefaultParagraphFont"/>
    <w:rsid w:val="00C86DE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8</cp:revision>
  <dcterms:created xsi:type="dcterms:W3CDTF">2017-03-02T11:01:00Z</dcterms:created>
  <dcterms:modified xsi:type="dcterms:W3CDTF">2021-06-27T21:33:00Z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