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6D7" w:rsidRPr="002906D7" w:rsidRDefault="009B3490" w:rsidP="002906D7">
      <w:pPr>
        <w:spacing w:before="240" w:after="0"/>
        <w:ind w:firstLine="720"/>
        <w:jc w:val="center"/>
        <w:rPr>
          <w:rFonts w:ascii="Verdana" w:eastAsia="Times New Roman" w:hAnsi="Verdana"/>
          <w:b/>
          <w:bCs/>
          <w:sz w:val="32"/>
          <w:szCs w:val="32"/>
        </w:rPr>
      </w:pPr>
      <w:r w:rsidRPr="002906D7">
        <w:rPr>
          <w:rFonts w:ascii="Verdana" w:eastAsia="Times New Roman" w:hAnsi="Verdana"/>
          <w:b/>
          <w:bCs/>
          <w:sz w:val="32"/>
          <w:szCs w:val="32"/>
        </w:rPr>
        <w:t>RICHARD WILLIE</w:t>
      </w:r>
    </w:p>
    <w:p w:rsidR="002906D7" w:rsidRPr="002906D7" w:rsidRDefault="00E146E8" w:rsidP="002906D7">
      <w:pPr>
        <w:spacing w:before="240" w:after="0"/>
        <w:ind w:firstLine="720"/>
        <w:jc w:val="center"/>
        <w:rPr>
          <w:rFonts w:ascii="Verdana" w:eastAsia="Times New Roman" w:hAnsi="Verdana"/>
          <w:b/>
          <w:iCs/>
          <w:sz w:val="32"/>
          <w:szCs w:val="32"/>
        </w:rPr>
      </w:pPr>
      <w:r w:rsidRPr="002906D7">
        <w:rPr>
          <w:rFonts w:ascii="Verdana" w:eastAsia="Times New Roman" w:hAnsi="Verdana"/>
          <w:b/>
          <w:iCs/>
          <w:sz w:val="32"/>
          <w:szCs w:val="32"/>
        </w:rPr>
        <w:t>V.</w:t>
      </w:r>
    </w:p>
    <w:p w:rsidR="009B3490" w:rsidRPr="002906D7" w:rsidRDefault="009B3490" w:rsidP="002906D7">
      <w:pPr>
        <w:spacing w:before="240" w:after="0"/>
        <w:ind w:firstLine="720"/>
        <w:jc w:val="center"/>
        <w:rPr>
          <w:rFonts w:ascii="Verdana" w:eastAsia="Times New Roman" w:hAnsi="Verdana"/>
          <w:b/>
          <w:iCs/>
          <w:sz w:val="32"/>
          <w:szCs w:val="32"/>
        </w:rPr>
      </w:pPr>
      <w:r w:rsidRPr="002906D7">
        <w:rPr>
          <w:rFonts w:ascii="Verdana" w:eastAsia="Times New Roman" w:hAnsi="Verdana"/>
          <w:b/>
          <w:bCs/>
          <w:sz w:val="32"/>
          <w:szCs w:val="32"/>
        </w:rPr>
        <w:t>THE STATE</w:t>
      </w:r>
    </w:p>
    <w:p w:rsidR="00190C38" w:rsidRDefault="00190C38" w:rsidP="003926A1">
      <w:pPr>
        <w:spacing w:before="240"/>
        <w:jc w:val="center"/>
        <w:rPr>
          <w:rFonts w:ascii="Verdana" w:eastAsia="Times New Roman" w:hAnsi="Verdana"/>
          <w:bCs/>
        </w:rPr>
      </w:pPr>
      <w:bookmarkStart w:id="0" w:name="_Toc154277611"/>
      <w:r>
        <w:rPr>
          <w:rFonts w:ascii="Verdana" w:eastAsia="Times New Roman" w:hAnsi="Verdana"/>
          <w:bCs/>
        </w:rPr>
        <w:t>SUPREME COURT OF NIGERIA</w:t>
      </w:r>
    </w:p>
    <w:p w:rsidR="00190C38" w:rsidRDefault="00190C38" w:rsidP="003926A1">
      <w:pPr>
        <w:spacing w:before="240"/>
        <w:jc w:val="center"/>
        <w:rPr>
          <w:rFonts w:ascii="Verdana" w:eastAsia="Times New Roman" w:hAnsi="Verdana"/>
          <w:bCs/>
        </w:rPr>
      </w:pPr>
      <w:r>
        <w:rPr>
          <w:rFonts w:ascii="Verdana" w:eastAsia="Times New Roman" w:hAnsi="Verdana"/>
          <w:bCs/>
        </w:rPr>
        <w:t>11TH DAY OF APRIL, 1968</w:t>
      </w:r>
    </w:p>
    <w:p w:rsidR="003926A1" w:rsidRDefault="003926A1" w:rsidP="003926A1">
      <w:pPr>
        <w:spacing w:before="240"/>
        <w:jc w:val="center"/>
        <w:rPr>
          <w:rFonts w:ascii="Verdana" w:eastAsia="Times New Roman" w:hAnsi="Verdana"/>
          <w:bCs/>
        </w:rPr>
      </w:pPr>
      <w:r w:rsidRPr="001B57D5">
        <w:rPr>
          <w:rFonts w:ascii="Verdana" w:eastAsia="Times New Roman" w:hAnsi="Verdana"/>
          <w:bCs/>
        </w:rPr>
        <w:t xml:space="preserve">SUIT No. </w:t>
      </w:r>
      <w:r w:rsidRPr="002906D7">
        <w:rPr>
          <w:rFonts w:ascii="Verdana" w:eastAsia="Times New Roman" w:hAnsi="Verdana"/>
          <w:bCs/>
        </w:rPr>
        <w:t>S.C. 380/67</w:t>
      </w:r>
      <w:bookmarkEnd w:id="0"/>
    </w:p>
    <w:p w:rsidR="002906D7" w:rsidRPr="002906D7" w:rsidRDefault="002906D7" w:rsidP="003926A1">
      <w:pPr>
        <w:spacing w:before="240"/>
        <w:jc w:val="center"/>
        <w:rPr>
          <w:rFonts w:ascii="Verdana" w:eastAsia="Times New Roman" w:hAnsi="Verdana"/>
          <w:b/>
          <w:bCs/>
        </w:rPr>
      </w:pPr>
      <w:r>
        <w:rPr>
          <w:rFonts w:ascii="Verdana" w:eastAsia="Times New Roman" w:hAnsi="Verdana"/>
          <w:b/>
          <w:bCs/>
        </w:rPr>
        <w:t xml:space="preserve">LEX (1968) - </w:t>
      </w:r>
      <w:r w:rsidRPr="002906D7">
        <w:rPr>
          <w:rFonts w:ascii="Verdana" w:eastAsia="Times New Roman" w:hAnsi="Verdana"/>
          <w:b/>
          <w:bCs/>
        </w:rPr>
        <w:t>S.C. 380/67</w:t>
      </w:r>
    </w:p>
    <w:p w:rsidR="008B6C8D" w:rsidRPr="008B6C8D" w:rsidRDefault="008B6C8D" w:rsidP="008B6C8D">
      <w:pPr>
        <w:spacing w:before="240"/>
        <w:jc w:val="center"/>
        <w:rPr>
          <w:rFonts w:ascii="Verdana" w:eastAsia="Times New Roman" w:hAnsi="Verdana"/>
          <w:bCs/>
          <w:szCs w:val="20"/>
          <w:lang w:eastAsia="en-GB"/>
        </w:rPr>
      </w:pPr>
    </w:p>
    <w:p w:rsidR="008B6C8D" w:rsidRDefault="008B6C8D" w:rsidP="008B6C8D">
      <w:pPr>
        <w:spacing w:before="240"/>
        <w:rPr>
          <w:rFonts w:ascii="Verdana" w:eastAsia="Times New Roman" w:hAnsi="Verdana"/>
          <w:bCs/>
          <w:sz w:val="20"/>
          <w:szCs w:val="20"/>
          <w:lang w:eastAsia="en-GB"/>
        </w:rPr>
      </w:pPr>
    </w:p>
    <w:p w:rsidR="002906D7" w:rsidRDefault="008B6C8D" w:rsidP="002906D7">
      <w:pPr>
        <w:spacing w:after="0"/>
        <w:jc w:val="right"/>
        <w:rPr>
          <w:rFonts w:ascii="Verdana" w:eastAsia="Times New Roman" w:hAnsi="Verdana"/>
          <w:b/>
          <w:bCs/>
          <w:sz w:val="18"/>
          <w:szCs w:val="20"/>
          <w:lang w:eastAsia="en-GB"/>
        </w:rPr>
      </w:pPr>
      <w:r w:rsidRPr="008B6C8D">
        <w:rPr>
          <w:rFonts w:ascii="Verdana" w:eastAsia="Times New Roman" w:hAnsi="Verdana"/>
          <w:b/>
          <w:bCs/>
          <w:sz w:val="18"/>
          <w:szCs w:val="20"/>
          <w:lang w:eastAsia="en-GB"/>
        </w:rPr>
        <w:t>OTHER CITATIONS</w:t>
      </w:r>
    </w:p>
    <w:p w:rsidR="002906D7" w:rsidRPr="002906D7" w:rsidRDefault="002906D7" w:rsidP="002906D7">
      <w:pPr>
        <w:spacing w:after="0"/>
        <w:jc w:val="right"/>
        <w:rPr>
          <w:rFonts w:ascii="Verdana" w:eastAsia="Times New Roman" w:hAnsi="Verdana"/>
          <w:b/>
          <w:bCs/>
          <w:sz w:val="20"/>
          <w:szCs w:val="20"/>
        </w:rPr>
      </w:pPr>
      <w:r>
        <w:rPr>
          <w:rFonts w:ascii="Verdana" w:eastAsia="Times New Roman" w:hAnsi="Verdana"/>
          <w:sz w:val="20"/>
          <w:szCs w:val="20"/>
          <w:lang w:eastAsia="en-GB"/>
        </w:rPr>
        <w:t>2</w:t>
      </w:r>
      <w:r w:rsidRPr="002906D7">
        <w:rPr>
          <w:rFonts w:ascii="Verdana" w:eastAsia="Times New Roman" w:hAnsi="Verdana"/>
          <w:sz w:val="20"/>
          <w:szCs w:val="20"/>
          <w:lang w:eastAsia="en-GB"/>
        </w:rPr>
        <w:t>PLR/1968/79  (HC-W)</w:t>
      </w:r>
    </w:p>
    <w:p w:rsidR="00190C38" w:rsidRPr="00190C38" w:rsidRDefault="00190C38" w:rsidP="002906D7">
      <w:pPr>
        <w:spacing w:before="240" w:after="0"/>
        <w:rPr>
          <w:rFonts w:ascii="Verdana" w:eastAsia="Times New Roman" w:hAnsi="Verdana"/>
          <w:b/>
          <w:bCs/>
        </w:rPr>
      </w:pPr>
      <w:r>
        <w:rPr>
          <w:rFonts w:ascii="Verdana" w:eastAsia="Times New Roman" w:hAnsi="Verdana"/>
          <w:b/>
          <w:bCs/>
        </w:rPr>
        <w:t xml:space="preserve">BEFORE: </w:t>
      </w:r>
      <w:r w:rsidR="008B25D0">
        <w:rPr>
          <w:rFonts w:ascii="Verdana" w:eastAsia="Times New Roman" w:hAnsi="Verdana"/>
          <w:b/>
          <w:bCs/>
        </w:rPr>
        <w:t>-</w:t>
      </w:r>
      <w:r>
        <w:rPr>
          <w:rFonts w:ascii="Verdana" w:eastAsia="Times New Roman" w:hAnsi="Verdana"/>
          <w:b/>
          <w:bCs/>
        </w:rPr>
        <w:t xml:space="preserve"> </w:t>
      </w:r>
      <w:r w:rsidR="008B25D0" w:rsidRPr="008B25D0">
        <w:rPr>
          <w:rFonts w:ascii="Verdana" w:eastAsia="Times New Roman" w:hAnsi="Verdana"/>
          <w:bCs/>
        </w:rPr>
        <w:t xml:space="preserve">CHARLES OLUSOJI </w:t>
      </w:r>
      <w:r w:rsidRPr="00190C38">
        <w:rPr>
          <w:rFonts w:ascii="Verdana" w:eastAsia="Times New Roman" w:hAnsi="Verdana"/>
        </w:rPr>
        <w:t>MADARIKAN, J.S.C.</w:t>
      </w:r>
    </w:p>
    <w:p w:rsidR="00190C38" w:rsidRDefault="00190C38" w:rsidP="002906D7">
      <w:pPr>
        <w:spacing w:before="240" w:after="0"/>
        <w:rPr>
          <w:rFonts w:ascii="Verdana" w:eastAsia="Times New Roman" w:hAnsi="Verdana"/>
          <w:b/>
          <w:bCs/>
        </w:rPr>
      </w:pPr>
    </w:p>
    <w:p w:rsidR="00190C38" w:rsidRPr="002906D7" w:rsidRDefault="00190C38" w:rsidP="00190C38">
      <w:pPr>
        <w:spacing w:before="240" w:after="0"/>
        <w:rPr>
          <w:rFonts w:ascii="Verdana" w:eastAsia="Times New Roman" w:hAnsi="Verdana"/>
          <w:b/>
          <w:bCs/>
        </w:rPr>
      </w:pPr>
      <w:r w:rsidRPr="002906D7">
        <w:rPr>
          <w:rFonts w:ascii="Verdana" w:eastAsia="Times New Roman" w:hAnsi="Verdana"/>
          <w:b/>
          <w:bCs/>
        </w:rPr>
        <w:t>ORIGINATING COURT</w:t>
      </w:r>
    </w:p>
    <w:p w:rsidR="00190C38" w:rsidRPr="002906D7" w:rsidRDefault="00190C38" w:rsidP="00190C38">
      <w:pPr>
        <w:spacing w:before="240" w:after="0"/>
        <w:rPr>
          <w:rFonts w:ascii="Verdana" w:eastAsia="Times New Roman" w:hAnsi="Verdana"/>
        </w:rPr>
      </w:pPr>
      <w:r w:rsidRPr="002906D7">
        <w:rPr>
          <w:rFonts w:ascii="Verdana" w:eastAsia="Times New Roman" w:hAnsi="Verdana"/>
        </w:rPr>
        <w:t xml:space="preserve">HIGH COURT, </w:t>
      </w:r>
      <w:r>
        <w:rPr>
          <w:rFonts w:ascii="Verdana" w:eastAsia="Times New Roman" w:hAnsi="Verdana"/>
        </w:rPr>
        <w:t xml:space="preserve">MID-WEST, HOLDEN AT </w:t>
      </w:r>
      <w:r w:rsidRPr="002906D7">
        <w:rPr>
          <w:rFonts w:ascii="Verdana" w:eastAsia="Times New Roman" w:hAnsi="Verdana"/>
        </w:rPr>
        <w:t>WARRI (OBASEKI, J. Presiding)</w:t>
      </w:r>
    </w:p>
    <w:p w:rsidR="00190C38" w:rsidRDefault="00190C38" w:rsidP="002906D7">
      <w:pPr>
        <w:spacing w:before="240" w:after="0"/>
        <w:rPr>
          <w:rFonts w:ascii="Verdana" w:eastAsia="Times New Roman" w:hAnsi="Verdana"/>
          <w:b/>
          <w:bCs/>
        </w:rPr>
      </w:pPr>
    </w:p>
    <w:p w:rsidR="003926A1" w:rsidRPr="002906D7" w:rsidRDefault="003926A1" w:rsidP="002906D7">
      <w:pPr>
        <w:spacing w:before="240" w:after="0"/>
        <w:rPr>
          <w:rFonts w:ascii="Verdana" w:eastAsia="Times New Roman" w:hAnsi="Verdana"/>
          <w:b/>
          <w:bCs/>
        </w:rPr>
      </w:pPr>
      <w:r w:rsidRPr="002906D7">
        <w:rPr>
          <w:rFonts w:ascii="Verdana" w:eastAsia="Times New Roman" w:hAnsi="Verdana"/>
          <w:b/>
          <w:bCs/>
        </w:rPr>
        <w:lastRenderedPageBreak/>
        <w:t>REPRESENTATION</w:t>
      </w:r>
    </w:p>
    <w:p w:rsidR="003926A1" w:rsidRPr="002906D7" w:rsidRDefault="00DC62A0" w:rsidP="002906D7">
      <w:pPr>
        <w:spacing w:before="240" w:after="0"/>
        <w:rPr>
          <w:rFonts w:ascii="Verdana" w:eastAsia="Times New Roman" w:hAnsi="Verdana"/>
        </w:rPr>
      </w:pPr>
      <w:r w:rsidRPr="002906D7">
        <w:rPr>
          <w:rFonts w:ascii="Verdana" w:eastAsia="Times New Roman" w:hAnsi="Verdana"/>
        </w:rPr>
        <w:t>COLE</w:t>
      </w:r>
      <w:r w:rsidR="003926A1" w:rsidRPr="002906D7">
        <w:rPr>
          <w:rFonts w:ascii="Verdana" w:eastAsia="Times New Roman" w:hAnsi="Verdana"/>
        </w:rPr>
        <w:t xml:space="preserve"> - for the appellant</w:t>
      </w:r>
    </w:p>
    <w:p w:rsidR="003926A1" w:rsidRPr="002906D7" w:rsidRDefault="00DC62A0" w:rsidP="002906D7">
      <w:pPr>
        <w:spacing w:before="240" w:after="0"/>
        <w:rPr>
          <w:rFonts w:ascii="Verdana" w:eastAsia="Times New Roman" w:hAnsi="Verdana"/>
        </w:rPr>
      </w:pPr>
      <w:r w:rsidRPr="002906D7">
        <w:rPr>
          <w:rFonts w:ascii="Verdana" w:eastAsia="Times New Roman" w:hAnsi="Verdana"/>
        </w:rPr>
        <w:t>GBEMUDU</w:t>
      </w:r>
      <w:r w:rsidR="003926A1" w:rsidRPr="002906D7">
        <w:rPr>
          <w:rFonts w:ascii="Verdana" w:eastAsia="Times New Roman" w:hAnsi="Verdana"/>
        </w:rPr>
        <w:t xml:space="preserve"> - for the respondent</w:t>
      </w:r>
    </w:p>
    <w:p w:rsidR="002D55A0" w:rsidRPr="002906D7" w:rsidRDefault="002D55A0" w:rsidP="002906D7">
      <w:pPr>
        <w:spacing w:before="240" w:after="0"/>
        <w:rPr>
          <w:rFonts w:ascii="Verdana" w:eastAsia="Times New Roman" w:hAnsi="Verdana"/>
          <w:b/>
          <w:bCs/>
        </w:rPr>
      </w:pPr>
    </w:p>
    <w:p w:rsidR="003926A1" w:rsidRPr="002906D7" w:rsidRDefault="003926A1" w:rsidP="002906D7">
      <w:pPr>
        <w:spacing w:before="240" w:after="0"/>
        <w:rPr>
          <w:rFonts w:ascii="Verdana" w:eastAsia="Times New Roman" w:hAnsi="Verdana"/>
        </w:rPr>
      </w:pPr>
      <w:r w:rsidRPr="002906D7">
        <w:rPr>
          <w:rFonts w:ascii="Verdana" w:eastAsia="Times New Roman" w:hAnsi="Verdana"/>
          <w:b/>
          <w:bCs/>
        </w:rPr>
        <w:t>ISSUES</w:t>
      </w:r>
      <w:r w:rsidR="002906D7">
        <w:rPr>
          <w:rFonts w:ascii="Verdana" w:eastAsia="Times New Roman" w:hAnsi="Verdana"/>
          <w:b/>
          <w:bCs/>
        </w:rPr>
        <w:t xml:space="preserve"> FROM THE CAUSE(S) OF ACTION </w:t>
      </w:r>
    </w:p>
    <w:p w:rsidR="003926A1" w:rsidRPr="00190C38" w:rsidRDefault="00E55A64" w:rsidP="002906D7">
      <w:pPr>
        <w:spacing w:before="240" w:after="0"/>
        <w:jc w:val="both"/>
        <w:rPr>
          <w:rFonts w:ascii="Verdana" w:eastAsia="Times New Roman" w:hAnsi="Verdana"/>
        </w:rPr>
      </w:pPr>
      <w:r w:rsidRPr="00190C38">
        <w:rPr>
          <w:rFonts w:ascii="Verdana" w:eastAsia="Times New Roman" w:hAnsi="Verdana"/>
          <w:iCs/>
        </w:rPr>
        <w:t xml:space="preserve">CRIMINAL LAW AND PROCEDURE:- </w:t>
      </w:r>
      <w:r w:rsidR="003926A1" w:rsidRPr="00190C38">
        <w:rPr>
          <w:rFonts w:ascii="Verdana" w:eastAsia="Times New Roman" w:hAnsi="Verdana"/>
          <w:iCs/>
        </w:rPr>
        <w:t>Homicide</w:t>
      </w:r>
      <w:r w:rsidRPr="00190C38">
        <w:rPr>
          <w:rFonts w:ascii="Verdana" w:eastAsia="Times New Roman" w:hAnsi="Verdana"/>
          <w:iCs/>
        </w:rPr>
        <w:t xml:space="preserve"> – How proved – Burden on prosecution - </w:t>
      </w:r>
      <w:r w:rsidR="003926A1" w:rsidRPr="00190C38">
        <w:rPr>
          <w:rFonts w:ascii="Verdana" w:eastAsia="Times New Roman" w:hAnsi="Verdana"/>
          <w:iCs/>
        </w:rPr>
        <w:t>Defence of insanity</w:t>
      </w:r>
      <w:r w:rsidRPr="00190C38">
        <w:rPr>
          <w:rFonts w:ascii="Verdana" w:eastAsia="Times New Roman" w:hAnsi="Verdana"/>
          <w:iCs/>
        </w:rPr>
        <w:t xml:space="preserve"> </w:t>
      </w:r>
      <w:r w:rsidR="003926A1" w:rsidRPr="00190C38">
        <w:rPr>
          <w:rFonts w:ascii="Verdana" w:eastAsia="Times New Roman" w:hAnsi="Verdana"/>
          <w:iCs/>
        </w:rPr>
        <w:t>-</w:t>
      </w:r>
      <w:r w:rsidRPr="00190C38">
        <w:rPr>
          <w:rFonts w:ascii="Verdana" w:eastAsia="Times New Roman" w:hAnsi="Verdana"/>
          <w:iCs/>
        </w:rPr>
        <w:t xml:space="preserve"> </w:t>
      </w:r>
      <w:r w:rsidR="00245FEF" w:rsidRPr="00190C38">
        <w:rPr>
          <w:rFonts w:ascii="Verdana" w:eastAsia="Times New Roman" w:hAnsi="Verdana"/>
          <w:iCs/>
        </w:rPr>
        <w:t>S</w:t>
      </w:r>
      <w:r w:rsidR="003926A1" w:rsidRPr="00190C38">
        <w:rPr>
          <w:rFonts w:ascii="Verdana" w:eastAsia="Times New Roman" w:hAnsi="Verdana"/>
          <w:iCs/>
        </w:rPr>
        <w:t>ection 26 of the Criminal Code</w:t>
      </w:r>
      <w:r w:rsidR="00245FEF" w:rsidRPr="00190C38">
        <w:rPr>
          <w:rFonts w:ascii="Verdana" w:eastAsia="Times New Roman" w:hAnsi="Verdana"/>
          <w:iCs/>
        </w:rPr>
        <w:t xml:space="preserve"> – What defendant must prove to succeed – Need for accused </w:t>
      </w:r>
      <w:r w:rsidR="003926A1" w:rsidRPr="00190C38">
        <w:rPr>
          <w:rFonts w:ascii="Verdana" w:eastAsia="Times New Roman" w:hAnsi="Verdana"/>
          <w:iCs/>
        </w:rPr>
        <w:t>t</w:t>
      </w:r>
      <w:r w:rsidR="00245FEF" w:rsidRPr="00190C38">
        <w:rPr>
          <w:rFonts w:ascii="Verdana" w:eastAsia="Times New Roman" w:hAnsi="Verdana"/>
          <w:iCs/>
        </w:rPr>
        <w:t>o</w:t>
      </w:r>
      <w:r w:rsidR="003926A1" w:rsidRPr="00190C38">
        <w:rPr>
          <w:rFonts w:ascii="Verdana" w:eastAsia="Times New Roman" w:hAnsi="Verdana"/>
          <w:iCs/>
        </w:rPr>
        <w:t xml:space="preserve"> go further to show that at the time of doing the act complained of he was insane within the meaning of </w:t>
      </w:r>
      <w:r w:rsidR="000E193B" w:rsidRPr="00190C38">
        <w:rPr>
          <w:rFonts w:ascii="Verdana" w:eastAsia="Times New Roman" w:hAnsi="Verdana"/>
          <w:iCs/>
        </w:rPr>
        <w:t>section 26 of the Criminal Code</w:t>
      </w:r>
    </w:p>
    <w:p w:rsidR="002906D7" w:rsidRPr="00190C38" w:rsidRDefault="002906D7" w:rsidP="002906D7">
      <w:pPr>
        <w:spacing w:before="240" w:after="0"/>
        <w:jc w:val="both"/>
        <w:rPr>
          <w:rFonts w:ascii="Verdana" w:hAnsi="Verdana"/>
          <w:iCs/>
          <w:color w:val="000000"/>
        </w:rPr>
      </w:pPr>
      <w:r w:rsidRPr="00190C38">
        <w:rPr>
          <w:rFonts w:ascii="Verdana" w:hAnsi="Verdana"/>
          <w:iCs/>
          <w:color w:val="000000"/>
        </w:rPr>
        <w:t xml:space="preserve">CHILDREN AND WOMEN LAW: - Women and Murder – Women and witchcraft – Brutal murder of mother accused of witchcraft poisoning producing stomach-ache in her assailant/son – How treated </w:t>
      </w:r>
    </w:p>
    <w:p w:rsidR="004B6A61" w:rsidRPr="00190C38" w:rsidRDefault="004B6A61" w:rsidP="002906D7">
      <w:pPr>
        <w:spacing w:before="240" w:after="0"/>
        <w:jc w:val="both"/>
        <w:rPr>
          <w:rFonts w:ascii="Verdana" w:eastAsia="Times New Roman" w:hAnsi="Verdana"/>
        </w:rPr>
      </w:pPr>
      <w:r w:rsidRPr="00190C38">
        <w:rPr>
          <w:rFonts w:ascii="Verdana" w:eastAsia="Times New Roman" w:hAnsi="Verdana"/>
        </w:rPr>
        <w:t>RELIGION AND LAW</w:t>
      </w:r>
      <w:r w:rsidR="000E193B" w:rsidRPr="00190C38">
        <w:rPr>
          <w:rFonts w:ascii="Verdana" w:eastAsia="Times New Roman" w:hAnsi="Verdana"/>
        </w:rPr>
        <w:t>: -</w:t>
      </w:r>
      <w:r w:rsidRPr="00190C38">
        <w:rPr>
          <w:rFonts w:ascii="Verdana" w:eastAsia="Times New Roman" w:hAnsi="Verdana"/>
        </w:rPr>
        <w:t xml:space="preserve"> Belief in witchcraft as cause of stomach-ache – Implication for crime and justice administration  </w:t>
      </w:r>
    </w:p>
    <w:p w:rsidR="004B6A61" w:rsidRPr="00190C38" w:rsidRDefault="004B6A61" w:rsidP="002906D7">
      <w:pPr>
        <w:spacing w:before="240" w:after="0"/>
        <w:jc w:val="both"/>
        <w:rPr>
          <w:rFonts w:ascii="Times New Roman" w:eastAsia="Times New Roman" w:hAnsi="Times New Roman"/>
        </w:rPr>
      </w:pPr>
      <w:r w:rsidRPr="00190C38">
        <w:rPr>
          <w:rFonts w:ascii="Verdana" w:eastAsia="Times New Roman" w:hAnsi="Verdana"/>
        </w:rPr>
        <w:t xml:space="preserve">HEALTHCARE AND LAW:- Access to healthcare and health education – Alleged poisoning and stomach ache – </w:t>
      </w:r>
      <w:r w:rsidR="002E7BE2" w:rsidRPr="00190C38">
        <w:rPr>
          <w:rFonts w:ascii="Verdana" w:eastAsia="Times New Roman" w:hAnsi="Verdana"/>
        </w:rPr>
        <w:t xml:space="preserve">Reliance on home ‘cure’ administered at home by non-medical professional even in the face of deteriorating condition – Mental illness - </w:t>
      </w:r>
      <w:r w:rsidRPr="00190C38">
        <w:rPr>
          <w:rFonts w:ascii="Verdana" w:eastAsia="Times New Roman" w:hAnsi="Verdana"/>
        </w:rPr>
        <w:t xml:space="preserve">Implications for crime and justice administration </w:t>
      </w:r>
    </w:p>
    <w:p w:rsidR="004B6A61" w:rsidRPr="002906D7" w:rsidRDefault="004B6A61" w:rsidP="002906D7">
      <w:pPr>
        <w:spacing w:before="240" w:after="0"/>
        <w:rPr>
          <w:rFonts w:ascii="Verdana" w:eastAsia="Times New Roman" w:hAnsi="Verdana"/>
        </w:rPr>
      </w:pPr>
    </w:p>
    <w:p w:rsidR="002E7BE2" w:rsidRDefault="002E7BE2" w:rsidP="002906D7">
      <w:pPr>
        <w:spacing w:before="240" w:after="0"/>
        <w:rPr>
          <w:rFonts w:ascii="Verdana" w:eastAsia="Times New Roman" w:hAnsi="Verdana"/>
        </w:rPr>
      </w:pPr>
    </w:p>
    <w:p w:rsidR="003F7DB5" w:rsidRPr="004B6A61" w:rsidRDefault="003926A1" w:rsidP="004B6A61">
      <w:pPr>
        <w:spacing w:before="240" w:after="0"/>
        <w:rPr>
          <w:rFonts w:ascii="Verdana" w:eastAsia="Times New Roman" w:hAnsi="Verdana"/>
          <w:b/>
        </w:rPr>
      </w:pPr>
      <w:r>
        <w:rPr>
          <w:rFonts w:ascii="Verdana" w:eastAsia="Times New Roman" w:hAnsi="Verdana"/>
          <w:b/>
        </w:rPr>
        <w:t>MAIN JUDGEMENT</w:t>
      </w:r>
    </w:p>
    <w:p w:rsidR="009B3490" w:rsidRDefault="009B3490" w:rsidP="003926A1">
      <w:pPr>
        <w:spacing w:before="240" w:after="100" w:afterAutospacing="1"/>
        <w:jc w:val="both"/>
        <w:rPr>
          <w:rFonts w:ascii="Verdana" w:eastAsia="Times New Roman" w:hAnsi="Verdana"/>
        </w:rPr>
      </w:pPr>
      <w:r w:rsidRPr="00627BF3">
        <w:rPr>
          <w:rFonts w:ascii="Verdana" w:eastAsia="Times New Roman" w:hAnsi="Verdana"/>
          <w:b/>
        </w:rPr>
        <w:t>MADARIKAN, J.S.C.</w:t>
      </w:r>
      <w:r w:rsidRPr="00627BF3">
        <w:rPr>
          <w:rFonts w:ascii="Verdana" w:eastAsia="Times New Roman" w:hAnsi="Verdana"/>
        </w:rPr>
        <w:t xml:space="preserve"> (delivering the </w:t>
      </w:r>
      <w:r>
        <w:rPr>
          <w:rFonts w:ascii="Verdana" w:eastAsia="Times New Roman" w:hAnsi="Verdana"/>
        </w:rPr>
        <w:t>judgment</w:t>
      </w:r>
      <w:r w:rsidRPr="00627BF3">
        <w:rPr>
          <w:rFonts w:ascii="Verdana" w:eastAsia="Times New Roman" w:hAnsi="Verdana"/>
        </w:rPr>
        <w:t xml:space="preserve"> of the Court): </w:t>
      </w:r>
    </w:p>
    <w:p w:rsidR="004B6A61" w:rsidRDefault="009B3490" w:rsidP="003926A1">
      <w:pPr>
        <w:spacing w:before="240" w:after="100" w:afterAutospacing="1"/>
        <w:jc w:val="both"/>
        <w:rPr>
          <w:rFonts w:ascii="Verdana" w:eastAsia="Times New Roman" w:hAnsi="Verdana"/>
        </w:rPr>
      </w:pPr>
      <w:r w:rsidRPr="00627BF3">
        <w:rPr>
          <w:rFonts w:ascii="Verdana" w:eastAsia="Times New Roman" w:hAnsi="Verdana"/>
        </w:rPr>
        <w:lastRenderedPageBreak/>
        <w:t>In charge No. W/1 7C/67, the appellant was convicted in the High Court, Warri, on the 31st October, 1967 of murdering his mother, Akpokveve Oguma, and sentenced to death by Obaseki, J.</w:t>
      </w:r>
    </w:p>
    <w:p w:rsidR="00190C38" w:rsidRPr="000E193B" w:rsidRDefault="00190C38" w:rsidP="003926A1">
      <w:pPr>
        <w:spacing w:before="240" w:after="100" w:afterAutospacing="1"/>
        <w:jc w:val="both"/>
        <w:rPr>
          <w:rFonts w:ascii="Verdana" w:eastAsia="Times New Roman" w:hAnsi="Verdana"/>
        </w:rPr>
      </w:pPr>
    </w:p>
    <w:p w:rsidR="004B6A61" w:rsidRPr="000E193B"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t>The facts of the case were not in dispute. The appellant who was labouring under the impression that the deceased had poisoned him by witchcraft and thereby made him suffer from stomach ache demanded from the deceased an explanation as to why he had such illness. The deceased did not reply. Thereupon the appellant stabbed her with a knife and she fled. The appellant pursued her and assaulted her with a broken stool and also stoned her. He finally dealt a fatal blow on her head with a heavy grinding stone exhibit ‘A’. The case for the prosecution was substantially supported by the statement which the appellant made to the police exhibit ‘C’ and his evidence at the trial.</w:t>
      </w:r>
    </w:p>
    <w:p w:rsidR="00190C38" w:rsidRDefault="00190C38" w:rsidP="003926A1">
      <w:pPr>
        <w:spacing w:before="240" w:after="100" w:afterAutospacing="1"/>
        <w:jc w:val="both"/>
        <w:rPr>
          <w:rFonts w:ascii="Verdana" w:eastAsia="Times New Roman" w:hAnsi="Verdana"/>
        </w:rPr>
      </w:pPr>
    </w:p>
    <w:p w:rsidR="009B3490" w:rsidRPr="00627BF3"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t>At the hearing of the appeal Mr. Cole who appeared for the appellant restricted his arguments to the two additional grounds of appeal which he argued together. They read:-</w:t>
      </w:r>
    </w:p>
    <w:p w:rsidR="009B3490" w:rsidRPr="00627BF3" w:rsidRDefault="009B3490" w:rsidP="003926A1">
      <w:pPr>
        <w:spacing w:before="240" w:after="100" w:afterAutospacing="1"/>
        <w:ind w:left="1440" w:hanging="720"/>
        <w:jc w:val="both"/>
        <w:rPr>
          <w:rFonts w:ascii="Times New Roman" w:eastAsia="Times New Roman" w:hAnsi="Times New Roman"/>
        </w:rPr>
      </w:pPr>
      <w:r w:rsidRPr="00627BF3">
        <w:rPr>
          <w:rFonts w:ascii="Verdana" w:eastAsia="Times New Roman" w:hAnsi="Verdana"/>
        </w:rPr>
        <w:t xml:space="preserve">“(1) </w:t>
      </w:r>
      <w:r>
        <w:rPr>
          <w:rFonts w:ascii="Verdana" w:eastAsia="Times New Roman" w:hAnsi="Verdana"/>
        </w:rPr>
        <w:tab/>
      </w:r>
      <w:r w:rsidRPr="00627BF3">
        <w:rPr>
          <w:rFonts w:ascii="Verdana" w:eastAsia="Times New Roman" w:hAnsi="Verdana"/>
        </w:rPr>
        <w:t>The appellant did not have a fair trial in that the learned trial judge who is not a medical expert failed to give any or sufficient consideration to the expert opinion of Dr. Stevenson which established that the appellant’s mental state was abnormal.</w:t>
      </w:r>
    </w:p>
    <w:p w:rsidR="004B6A61" w:rsidRPr="000E193B" w:rsidRDefault="009B3490" w:rsidP="000E193B">
      <w:pPr>
        <w:spacing w:before="240" w:after="100" w:afterAutospacing="1"/>
        <w:ind w:left="1440" w:hanging="720"/>
        <w:jc w:val="both"/>
        <w:rPr>
          <w:rFonts w:ascii="Times New Roman" w:eastAsia="Times New Roman" w:hAnsi="Times New Roman"/>
        </w:rPr>
      </w:pPr>
      <w:r w:rsidRPr="00627BF3">
        <w:rPr>
          <w:rFonts w:ascii="Verdana" w:eastAsia="Times New Roman" w:hAnsi="Verdana"/>
        </w:rPr>
        <w:t xml:space="preserve">(2) </w:t>
      </w:r>
      <w:r>
        <w:rPr>
          <w:rFonts w:ascii="Verdana" w:eastAsia="Times New Roman" w:hAnsi="Verdana"/>
        </w:rPr>
        <w:tab/>
      </w:r>
      <w:r w:rsidRPr="00627BF3">
        <w:rPr>
          <w:rFonts w:ascii="Verdana" w:eastAsia="Times New Roman" w:hAnsi="Verdana"/>
        </w:rPr>
        <w:t>In view of the testimony of the fast prosecution witness there was sufficient evidence before the court of trial which ought to have been considered on the defence of insanity. The learned trial judge therefore erred by finding that “there is no evidence that accused (appellant) was insane at the time he killed”.</w:t>
      </w:r>
    </w:p>
    <w:p w:rsidR="00190C38" w:rsidRDefault="00190C38" w:rsidP="003926A1">
      <w:pPr>
        <w:spacing w:before="240" w:after="100" w:afterAutospacing="1"/>
        <w:jc w:val="both"/>
        <w:rPr>
          <w:rFonts w:ascii="Verdana" w:eastAsia="Times New Roman" w:hAnsi="Verdana"/>
        </w:rPr>
      </w:pPr>
    </w:p>
    <w:p w:rsidR="009B3490" w:rsidRPr="00627BF3"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t>He relied solely on the evidence of Dr. Stevenson which may be summarised thus in so far as it relates to his arguments:</w:t>
      </w:r>
    </w:p>
    <w:p w:rsidR="009B3490" w:rsidRPr="00627BF3" w:rsidRDefault="009B3490" w:rsidP="003926A1">
      <w:pPr>
        <w:spacing w:before="240" w:after="100" w:afterAutospacing="1"/>
        <w:ind w:left="720" w:hanging="720"/>
        <w:jc w:val="both"/>
        <w:rPr>
          <w:rFonts w:ascii="Times New Roman" w:eastAsia="Times New Roman" w:hAnsi="Times New Roman"/>
        </w:rPr>
      </w:pPr>
      <w:r>
        <w:rPr>
          <w:rFonts w:ascii="Verdana" w:eastAsia="Times New Roman" w:hAnsi="Verdana"/>
        </w:rPr>
        <w:t>(1)</w:t>
      </w:r>
      <w:r>
        <w:rPr>
          <w:rFonts w:ascii="Verdana" w:eastAsia="Times New Roman" w:hAnsi="Verdana"/>
        </w:rPr>
        <w:tab/>
      </w:r>
      <w:r w:rsidRPr="00627BF3">
        <w:rPr>
          <w:rFonts w:ascii="Verdana" w:eastAsia="Times New Roman" w:hAnsi="Verdana"/>
        </w:rPr>
        <w:t>Dr. Stevenson first saw the appellant on the 26th November, 1966, and he observed that the appellant was normal.</w:t>
      </w:r>
    </w:p>
    <w:p w:rsidR="009B3490" w:rsidRPr="00627BF3"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lastRenderedPageBreak/>
        <w:t xml:space="preserve">(2) </w:t>
      </w:r>
      <w:r>
        <w:rPr>
          <w:rFonts w:ascii="Verdana" w:eastAsia="Times New Roman" w:hAnsi="Verdana"/>
        </w:rPr>
        <w:tab/>
      </w:r>
      <w:r w:rsidRPr="00627BF3">
        <w:rPr>
          <w:rFonts w:ascii="Verdana" w:eastAsia="Times New Roman" w:hAnsi="Verdana"/>
        </w:rPr>
        <w:t>He next saw the appellant in December, 1966.</w:t>
      </w:r>
    </w:p>
    <w:p w:rsidR="009B3490" w:rsidRPr="00627BF3" w:rsidRDefault="009B3490" w:rsidP="003926A1">
      <w:pPr>
        <w:spacing w:before="240" w:after="100" w:afterAutospacing="1"/>
        <w:ind w:left="720" w:hanging="720"/>
        <w:jc w:val="both"/>
        <w:rPr>
          <w:rFonts w:ascii="Times New Roman" w:eastAsia="Times New Roman" w:hAnsi="Times New Roman"/>
        </w:rPr>
      </w:pPr>
      <w:r w:rsidRPr="00627BF3">
        <w:rPr>
          <w:rFonts w:ascii="Verdana" w:eastAsia="Times New Roman" w:hAnsi="Verdana"/>
        </w:rPr>
        <w:t xml:space="preserve">(3) </w:t>
      </w:r>
      <w:r>
        <w:rPr>
          <w:rFonts w:ascii="Verdana" w:eastAsia="Times New Roman" w:hAnsi="Verdana"/>
        </w:rPr>
        <w:tab/>
      </w:r>
      <w:r w:rsidRPr="00627BF3">
        <w:rPr>
          <w:rFonts w:ascii="Verdana" w:eastAsia="Times New Roman" w:hAnsi="Verdana"/>
        </w:rPr>
        <w:t>Thereafter he saw the appellant on the 22nd July, 1967, and the appellant talked normally and sensibly to him.</w:t>
      </w:r>
    </w:p>
    <w:p w:rsidR="004B6A61" w:rsidRPr="000E193B" w:rsidRDefault="009B3490" w:rsidP="000E193B">
      <w:pPr>
        <w:spacing w:before="240" w:after="100" w:afterAutospacing="1"/>
        <w:ind w:left="720" w:hanging="720"/>
        <w:jc w:val="both"/>
        <w:rPr>
          <w:rFonts w:ascii="Times New Roman" w:eastAsia="Times New Roman" w:hAnsi="Times New Roman"/>
        </w:rPr>
      </w:pPr>
      <w:r w:rsidRPr="00627BF3">
        <w:rPr>
          <w:rFonts w:ascii="Verdana" w:eastAsia="Times New Roman" w:hAnsi="Verdana"/>
        </w:rPr>
        <w:t xml:space="preserve">(4) </w:t>
      </w:r>
      <w:r>
        <w:rPr>
          <w:rFonts w:ascii="Verdana" w:eastAsia="Times New Roman" w:hAnsi="Verdana"/>
        </w:rPr>
        <w:tab/>
      </w:r>
      <w:r w:rsidRPr="00627BF3">
        <w:rPr>
          <w:rFonts w:ascii="Verdana" w:eastAsia="Times New Roman" w:hAnsi="Verdana"/>
        </w:rPr>
        <w:t>He observed the appellant a day before continuing his evidence on the 18th October, 1967 and formed the opinion that the appellant was not normal then. He concluded his evidence under cross-examination by say</w:t>
      </w:r>
      <w:r>
        <w:rPr>
          <w:rFonts w:ascii="Verdana" w:eastAsia="Times New Roman" w:hAnsi="Verdana"/>
        </w:rPr>
        <w:t>ing</w:t>
      </w:r>
      <w:r w:rsidRPr="00627BF3">
        <w:rPr>
          <w:rFonts w:ascii="Verdana" w:eastAsia="Times New Roman" w:hAnsi="Verdana"/>
        </w:rPr>
        <w:t>-</w:t>
      </w:r>
    </w:p>
    <w:p w:rsidR="009B3490" w:rsidRPr="00627BF3" w:rsidRDefault="009B3490" w:rsidP="004B6A61">
      <w:pPr>
        <w:spacing w:before="240" w:after="100" w:afterAutospacing="1"/>
        <w:ind w:left="720"/>
        <w:jc w:val="both"/>
        <w:rPr>
          <w:rFonts w:ascii="Times New Roman" w:eastAsia="Times New Roman" w:hAnsi="Times New Roman"/>
        </w:rPr>
      </w:pPr>
      <w:r>
        <w:rPr>
          <w:rFonts w:ascii="Verdana" w:eastAsia="Times New Roman" w:hAnsi="Verdana"/>
        </w:rPr>
        <w:t xml:space="preserve">I </w:t>
      </w:r>
      <w:r w:rsidRPr="00627BF3">
        <w:rPr>
          <w:rFonts w:ascii="Verdana" w:eastAsia="Times New Roman" w:hAnsi="Verdana"/>
        </w:rPr>
        <w:t>tried to find out from him why he killed his mother, he could give no sensible reason. He confirmed he killed his mother. He did not give me the impression yesterday that he knew it was wrong. He said he was sick at the time and that his mother was trying to cure him and for some reason he became annoyed and killed her. It is likely that the condition “of abnormality was present but latent when he killed his mother. I cannot swear to that. Now I can swear to it that he is abnormal mentally”.</w:t>
      </w:r>
    </w:p>
    <w:p w:rsidR="00190C38" w:rsidRDefault="00190C38" w:rsidP="003926A1">
      <w:pPr>
        <w:spacing w:before="240" w:after="100" w:afterAutospacing="1"/>
        <w:jc w:val="both"/>
        <w:rPr>
          <w:rFonts w:ascii="Verdana" w:eastAsia="Times New Roman" w:hAnsi="Verdana"/>
        </w:rPr>
      </w:pPr>
    </w:p>
    <w:p w:rsidR="009B3490" w:rsidRPr="00627BF3"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t>Considering the evidence of insanity the learned trial judge said:</w:t>
      </w:r>
    </w:p>
    <w:p w:rsidR="009B3490" w:rsidRPr="00627BF3" w:rsidRDefault="009B3490" w:rsidP="003926A1">
      <w:pPr>
        <w:spacing w:before="240" w:after="100" w:afterAutospacing="1"/>
        <w:ind w:left="720"/>
        <w:jc w:val="both"/>
        <w:rPr>
          <w:rFonts w:ascii="Times New Roman" w:eastAsia="Times New Roman" w:hAnsi="Times New Roman"/>
        </w:rPr>
      </w:pPr>
      <w:r w:rsidRPr="00627BF3">
        <w:rPr>
          <w:rFonts w:ascii="Verdana" w:eastAsia="Times New Roman" w:hAnsi="Verdana"/>
        </w:rPr>
        <w:t>“The accused person gave evidence. Having watched him and heard him in the witness box I have formed the opinion that the appearance of mental abnormality was put up to deceive the Doctor. He had a vivid recollection of things that happened in his life and gave even the minute detail in his evidence. In his evidence he admitted he killed his mother because she was responsible for his illness which grew worse with treatment. He said inter alia:-</w:t>
      </w:r>
    </w:p>
    <w:p w:rsidR="009B3490" w:rsidRPr="00627BF3" w:rsidRDefault="009B3490" w:rsidP="003926A1">
      <w:pPr>
        <w:spacing w:before="240" w:after="100" w:afterAutospacing="1"/>
        <w:ind w:left="1440"/>
        <w:jc w:val="both"/>
        <w:rPr>
          <w:rFonts w:ascii="Times New Roman" w:eastAsia="Times New Roman" w:hAnsi="Times New Roman"/>
        </w:rPr>
      </w:pPr>
      <w:r w:rsidRPr="00627BF3">
        <w:rPr>
          <w:rFonts w:ascii="Verdana" w:eastAsia="Times New Roman" w:hAnsi="Verdana"/>
        </w:rPr>
        <w:t>‘When I became ill I got a feeling somehow that she was responsible. She did all according to her to cure me of the illness. The harder she tried the worse the illness became. I then asked her to tell me how the illness came about and who was responsible. I petted her to tell me but she would not. I gave her 10 days and tried to get what I wanted out of her but she would not tell me. I decided to kill her and die too. So I killed her. A lot of people told me that my mother was responsible for the illness. At the time I committed the murder it was not their belief that made me kill her. It was because the illness was growing worse instead of growing better</w:t>
      </w:r>
      <w:r>
        <w:rPr>
          <w:rFonts w:ascii="Verdana" w:eastAsia="Times New Roman" w:hAnsi="Verdana"/>
        </w:rPr>
        <w:t>.</w:t>
      </w:r>
      <w:r w:rsidRPr="00627BF3">
        <w:rPr>
          <w:rFonts w:ascii="Verdana" w:eastAsia="Times New Roman" w:hAnsi="Verdana"/>
        </w:rPr>
        <w:t>’</w:t>
      </w:r>
      <w:r>
        <w:rPr>
          <w:rFonts w:ascii="Verdana" w:eastAsia="Times New Roman" w:hAnsi="Verdana"/>
        </w:rPr>
        <w:t>”</w:t>
      </w:r>
    </w:p>
    <w:p w:rsidR="002E7BE2" w:rsidRDefault="009B3490" w:rsidP="003926A1">
      <w:pPr>
        <w:spacing w:before="240" w:after="100" w:afterAutospacing="1"/>
        <w:ind w:left="720"/>
        <w:jc w:val="both"/>
        <w:rPr>
          <w:rFonts w:ascii="Verdana" w:eastAsia="Times New Roman" w:hAnsi="Verdana"/>
        </w:rPr>
      </w:pPr>
      <w:r w:rsidRPr="00627BF3">
        <w:rPr>
          <w:rFonts w:ascii="Verdana" w:eastAsia="Times New Roman" w:hAnsi="Verdana"/>
        </w:rPr>
        <w:lastRenderedPageBreak/>
        <w:t>“I find as a fact that when the illness grew worse he decided to kill his mother and he attacked her and with the intention of killing her finally crashed a heavy grinding stone exhibit ‘A’ on her head and killed her. “</w:t>
      </w:r>
    </w:p>
    <w:p w:rsidR="002E7BE2" w:rsidRPr="000E193B" w:rsidRDefault="009B3490" w:rsidP="000E193B">
      <w:pPr>
        <w:spacing w:before="240" w:after="100" w:afterAutospacing="1"/>
        <w:ind w:left="720"/>
        <w:jc w:val="both"/>
        <w:rPr>
          <w:rFonts w:ascii="Verdana" w:eastAsia="Times New Roman" w:hAnsi="Verdana"/>
        </w:rPr>
      </w:pPr>
      <w:r w:rsidRPr="00627BF3">
        <w:rPr>
          <w:rFonts w:ascii="Verdana" w:eastAsia="Times New Roman" w:hAnsi="Verdana"/>
        </w:rPr>
        <w:t>There was a feeble attempt to raise the defence of insanity. There is no evidence that accused was insane at the time he killed. This defence has not been established before me and I reject it”.</w:t>
      </w:r>
    </w:p>
    <w:p w:rsidR="00190C38" w:rsidRDefault="00190C38" w:rsidP="003926A1">
      <w:pPr>
        <w:spacing w:before="240" w:after="100" w:afterAutospacing="1"/>
        <w:jc w:val="both"/>
        <w:rPr>
          <w:rFonts w:ascii="Verdana" w:eastAsia="Times New Roman" w:hAnsi="Verdana"/>
        </w:rPr>
      </w:pPr>
    </w:p>
    <w:p w:rsidR="009B3490" w:rsidRDefault="009B3490" w:rsidP="003926A1">
      <w:pPr>
        <w:spacing w:before="240" w:after="100" w:afterAutospacing="1"/>
        <w:jc w:val="both"/>
        <w:rPr>
          <w:rFonts w:ascii="Verdana" w:eastAsia="Times New Roman" w:hAnsi="Verdana"/>
        </w:rPr>
      </w:pPr>
      <w:r w:rsidRPr="00627BF3">
        <w:rPr>
          <w:rFonts w:ascii="Verdana" w:eastAsia="Times New Roman" w:hAnsi="Verdana"/>
        </w:rPr>
        <w:t>Mr. Cole argued that the evidence of Dr. Stevenson, an expert witness, as to the mental condition of the appellant was relevant by virtue of section 8 of the Evidence Law, and he further contended that being the evidence of an expert it was wrong for the court to reject it and replace it with the opinion of the judge, namely, “that the appearance of mental abnormality was put up to deceive the doctor”. He also submitted that if the court had accepted the uncontradicted evidence of Dr. Stevenson it would have been sufficient to ground the defence of insanity under section 26 of the Criminal Code.</w:t>
      </w:r>
    </w:p>
    <w:p w:rsidR="00190C38" w:rsidRDefault="00190C38" w:rsidP="003926A1">
      <w:pPr>
        <w:spacing w:before="240" w:after="100" w:afterAutospacing="1"/>
        <w:jc w:val="both"/>
        <w:rPr>
          <w:rFonts w:ascii="Verdana" w:eastAsia="Times New Roman" w:hAnsi="Verdana"/>
        </w:rPr>
      </w:pPr>
    </w:p>
    <w:p w:rsidR="009B3490" w:rsidRPr="00627BF3"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t>Now section 26 of the Criminal Code provides as follows:</w:t>
      </w:r>
    </w:p>
    <w:p w:rsidR="002E7BE2" w:rsidRPr="000E193B" w:rsidRDefault="009B3490" w:rsidP="000E193B">
      <w:pPr>
        <w:spacing w:before="240" w:after="100" w:afterAutospacing="1"/>
        <w:ind w:left="720"/>
        <w:jc w:val="both"/>
        <w:rPr>
          <w:rFonts w:ascii="Times New Roman" w:eastAsia="Times New Roman" w:hAnsi="Times New Roman"/>
        </w:rPr>
      </w:pPr>
      <w:r w:rsidRPr="00627BF3">
        <w:rPr>
          <w:rFonts w:ascii="Verdana" w:eastAsia="Times New Roman" w:hAnsi="Verdana"/>
        </w:rPr>
        <w:t>“A person is not criminally responsible for an act or omission if at the time of doing the act or making the omission he is in such a state of mental disease or natural mental infirmity as to deprive him of capacity to understand what he is doing, or of capacity to control his actions, or capacity to know that he ought not to do the act or make the omission”.</w:t>
      </w:r>
    </w:p>
    <w:p w:rsidR="00190C38" w:rsidRDefault="00190C38" w:rsidP="003926A1">
      <w:pPr>
        <w:spacing w:before="240" w:after="100" w:afterAutospacing="1"/>
        <w:jc w:val="both"/>
        <w:rPr>
          <w:rFonts w:ascii="Verdana" w:eastAsia="Times New Roman" w:hAnsi="Verdana"/>
        </w:rPr>
      </w:pPr>
    </w:p>
    <w:p w:rsidR="002E7BE2" w:rsidRPr="000E193B" w:rsidRDefault="009B3490" w:rsidP="003926A1">
      <w:pPr>
        <w:spacing w:before="240" w:after="100" w:afterAutospacing="1"/>
        <w:jc w:val="both"/>
        <w:rPr>
          <w:rFonts w:ascii="Times New Roman" w:eastAsia="Times New Roman" w:hAnsi="Times New Roman"/>
        </w:rPr>
      </w:pPr>
      <w:r w:rsidRPr="00627BF3">
        <w:rPr>
          <w:rFonts w:ascii="Verdana" w:eastAsia="Times New Roman" w:hAnsi="Verdana"/>
        </w:rPr>
        <w:t>In our view, to avail himself of the defence of insanity under section 26 it is not sufficient for the appellant to establish that he was mentally abnormal at the time of his trial, he must go further to show that at the time of doing the act complained of he was insane within the meaning of section 26. In the present case, the offence was committed on the 13th November, 1966 and there is nothing in the evidence of Dr. Stevenson to suggest that the appellant, on whom the onus of proof lies, was insane on that date. Indeed on the 26th November, 1966, Dr. Stevenson obse</w:t>
      </w:r>
      <w:r w:rsidR="002E7BE2">
        <w:rPr>
          <w:rFonts w:ascii="Verdana" w:eastAsia="Times New Roman" w:hAnsi="Verdana"/>
        </w:rPr>
        <w:t>rved that the appellant was nor</w:t>
      </w:r>
      <w:r w:rsidRPr="00627BF3">
        <w:rPr>
          <w:rFonts w:ascii="Verdana" w:eastAsia="Times New Roman" w:hAnsi="Verdana"/>
        </w:rPr>
        <w:t xml:space="preserve">mal, and on the 22nd July, 1967, he also observed that the appellant talked normally and sensibly. Taken at its highest Dr. </w:t>
      </w:r>
      <w:r w:rsidRPr="00627BF3">
        <w:rPr>
          <w:rFonts w:ascii="Verdana" w:eastAsia="Times New Roman" w:hAnsi="Verdana"/>
        </w:rPr>
        <w:lastRenderedPageBreak/>
        <w:t>Stevenson’s evidence does not tend to show that at the time of killing his mother the appellant was in such a state of mental disease or natural mental infirmity as to deprive him of capacity to know that he ought not to do the act. The question is not, what the appellant knew on the 17th October, 1967, but whether his capacity of knowledge was impaired by mental disease or natural mental infirmity on the 13th November, 1966. On the evidence before the lower court the judge, rightly in our view, came to the conclusion that the appellant failed to establish the defence of insanity. Both grounds of appeal must therefore fail.</w:t>
      </w:r>
    </w:p>
    <w:p w:rsidR="00190C38" w:rsidRDefault="00190C38" w:rsidP="003926A1">
      <w:pPr>
        <w:spacing w:before="240" w:after="100" w:afterAutospacing="1"/>
        <w:jc w:val="both"/>
        <w:rPr>
          <w:rFonts w:ascii="Verdana" w:eastAsia="Times New Roman" w:hAnsi="Verdana"/>
        </w:rPr>
      </w:pPr>
    </w:p>
    <w:p w:rsidR="00223E30" w:rsidRPr="008B25D0" w:rsidRDefault="009B3490" w:rsidP="008B25D0">
      <w:pPr>
        <w:spacing w:before="240" w:after="100" w:afterAutospacing="1"/>
        <w:jc w:val="both"/>
        <w:rPr>
          <w:rFonts w:ascii="Times New Roman" w:eastAsia="Times New Roman" w:hAnsi="Times New Roman"/>
        </w:rPr>
      </w:pPr>
      <w:r w:rsidRPr="00627BF3">
        <w:rPr>
          <w:rFonts w:ascii="Verdana" w:eastAsia="Times New Roman" w:hAnsi="Verdana"/>
        </w:rPr>
        <w:t>We dismissed the appeal when it was heard on the 28th March, 1968 and these are our reasons for having taken that course.</w:t>
      </w:r>
    </w:p>
    <w:sectPr w:rsidR="00223E30" w:rsidRPr="008B25D0" w:rsidSect="002906D7">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1FA" w:rsidRDefault="000251FA" w:rsidP="00D924EC">
      <w:pPr>
        <w:spacing w:after="0" w:line="240" w:lineRule="auto"/>
      </w:pPr>
      <w:r>
        <w:separator/>
      </w:r>
    </w:p>
  </w:endnote>
  <w:endnote w:type="continuationSeparator" w:id="0">
    <w:p w:rsidR="000251FA" w:rsidRDefault="000251FA" w:rsidP="00D92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1FA" w:rsidRDefault="000251FA" w:rsidP="00D924EC">
      <w:pPr>
        <w:spacing w:after="0" w:line="240" w:lineRule="auto"/>
      </w:pPr>
      <w:r>
        <w:separator/>
      </w:r>
    </w:p>
  </w:footnote>
  <w:footnote w:type="continuationSeparator" w:id="0">
    <w:p w:rsidR="000251FA" w:rsidRDefault="000251FA" w:rsidP="00D924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B3490"/>
    <w:rsid w:val="000251FA"/>
    <w:rsid w:val="000D6257"/>
    <w:rsid w:val="000E193B"/>
    <w:rsid w:val="00120CFE"/>
    <w:rsid w:val="00190C38"/>
    <w:rsid w:val="001E5664"/>
    <w:rsid w:val="00223E30"/>
    <w:rsid w:val="002426E3"/>
    <w:rsid w:val="00245FEF"/>
    <w:rsid w:val="002906D7"/>
    <w:rsid w:val="002A4B17"/>
    <w:rsid w:val="002C518F"/>
    <w:rsid w:val="002D55A0"/>
    <w:rsid w:val="002E7BE2"/>
    <w:rsid w:val="0032171A"/>
    <w:rsid w:val="003533C7"/>
    <w:rsid w:val="003913E0"/>
    <w:rsid w:val="003926A1"/>
    <w:rsid w:val="003D0267"/>
    <w:rsid w:val="003F7DB5"/>
    <w:rsid w:val="004B12C9"/>
    <w:rsid w:val="004B6A61"/>
    <w:rsid w:val="00500BF8"/>
    <w:rsid w:val="0051282E"/>
    <w:rsid w:val="005308B0"/>
    <w:rsid w:val="00577608"/>
    <w:rsid w:val="00691210"/>
    <w:rsid w:val="00795B06"/>
    <w:rsid w:val="007D3EB9"/>
    <w:rsid w:val="008B25D0"/>
    <w:rsid w:val="008B6C8D"/>
    <w:rsid w:val="008F2FE6"/>
    <w:rsid w:val="008F7EF5"/>
    <w:rsid w:val="009B3490"/>
    <w:rsid w:val="00CC352C"/>
    <w:rsid w:val="00D32E92"/>
    <w:rsid w:val="00D50C56"/>
    <w:rsid w:val="00D924EC"/>
    <w:rsid w:val="00DC3DB7"/>
    <w:rsid w:val="00DC62A0"/>
    <w:rsid w:val="00E146E8"/>
    <w:rsid w:val="00E55A64"/>
    <w:rsid w:val="00E76D20"/>
    <w:rsid w:val="00EC1E7E"/>
    <w:rsid w:val="00FE6416"/>
    <w:rsid w:val="00FF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4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490"/>
    <w:pPr>
      <w:tabs>
        <w:tab w:val="center" w:pos="4513"/>
        <w:tab w:val="right" w:pos="9026"/>
      </w:tabs>
    </w:pPr>
  </w:style>
  <w:style w:type="character" w:customStyle="1" w:styleId="HeaderChar">
    <w:name w:val="Header Char"/>
    <w:basedOn w:val="DefaultParagraphFont"/>
    <w:link w:val="Header"/>
    <w:uiPriority w:val="99"/>
    <w:rsid w:val="009B3490"/>
    <w:rPr>
      <w:rFonts w:ascii="Calibri" w:eastAsia="Calibri" w:hAnsi="Calibri" w:cs="Times New Roman"/>
    </w:rPr>
  </w:style>
  <w:style w:type="paragraph" w:styleId="BalloonText">
    <w:name w:val="Balloon Text"/>
    <w:basedOn w:val="Normal"/>
    <w:link w:val="BalloonTextChar"/>
    <w:uiPriority w:val="99"/>
    <w:semiHidden/>
    <w:unhideWhenUsed/>
    <w:rsid w:val="009B3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490"/>
    <w:rPr>
      <w:rFonts w:ascii="Tahoma" w:eastAsia="Calibri" w:hAnsi="Tahoma" w:cs="Tahoma"/>
      <w:sz w:val="16"/>
      <w:szCs w:val="16"/>
    </w:rPr>
  </w:style>
  <w:style w:type="paragraph" w:styleId="Footer">
    <w:name w:val="footer"/>
    <w:basedOn w:val="Normal"/>
    <w:link w:val="FooterChar"/>
    <w:uiPriority w:val="99"/>
    <w:semiHidden/>
    <w:unhideWhenUsed/>
    <w:rsid w:val="005308B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08B0"/>
    <w:rPr>
      <w:rFonts w:ascii="Calibri" w:eastAsia="Calibri" w:hAnsi="Calibri" w:cs="Times New Roman"/>
    </w:rPr>
  </w:style>
  <w:style w:type="table" w:styleId="TableGrid">
    <w:name w:val="Table Grid"/>
    <w:basedOn w:val="TableNormal"/>
    <w:uiPriority w:val="59"/>
    <w:rsid w:val="008B6C8D"/>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10</cp:revision>
  <dcterms:created xsi:type="dcterms:W3CDTF">2015-11-22T17:36:00Z</dcterms:created>
  <dcterms:modified xsi:type="dcterms:W3CDTF">2021-06-28T13:55:00Z</dcterms:modified>
</cp:coreProperties>
</file>