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129" w:rsidRDefault="001D25AE" w:rsidP="00377FDC">
      <w:pPr>
        <w:pStyle w:val="t1cntr"/>
        <w:spacing w:before="240" w:beforeAutospacing="0" w:after="0" w:afterAutospacing="0" w:line="276" w:lineRule="auto"/>
        <w:jc w:val="center"/>
        <w:rPr>
          <w:rFonts w:ascii="Verdana" w:hAnsi="Verdana"/>
          <w:b/>
          <w:bCs/>
          <w:sz w:val="28"/>
          <w:szCs w:val="28"/>
        </w:rPr>
      </w:pPr>
      <w:bookmarkStart w:id="0" w:name="_Toc152832555"/>
      <w:r w:rsidRPr="00E14129">
        <w:rPr>
          <w:rFonts w:ascii="Verdana" w:hAnsi="Verdana"/>
          <w:b/>
          <w:bCs/>
          <w:sz w:val="28"/>
          <w:szCs w:val="28"/>
        </w:rPr>
        <w:t>OKOYE OYIDIOBU</w:t>
      </w:r>
      <w:bookmarkStart w:id="1" w:name="_Toc152832556"/>
      <w:bookmarkEnd w:id="0"/>
    </w:p>
    <w:p w:rsidR="00E14129" w:rsidRDefault="001D25AE" w:rsidP="00377FDC">
      <w:pPr>
        <w:pStyle w:val="t1cntr"/>
        <w:spacing w:before="240" w:beforeAutospacing="0" w:after="0" w:afterAutospacing="0" w:line="276" w:lineRule="auto"/>
        <w:jc w:val="center"/>
        <w:rPr>
          <w:rFonts w:ascii="Verdana" w:hAnsi="Verdana"/>
          <w:b/>
          <w:bCs/>
          <w:sz w:val="28"/>
          <w:szCs w:val="28"/>
        </w:rPr>
      </w:pPr>
      <w:r w:rsidRPr="00E14129">
        <w:rPr>
          <w:rFonts w:ascii="Verdana" w:hAnsi="Verdana"/>
          <w:b/>
          <w:bCs/>
          <w:sz w:val="28"/>
          <w:szCs w:val="28"/>
        </w:rPr>
        <w:t>V</w:t>
      </w:r>
      <w:bookmarkEnd w:id="1"/>
      <w:r w:rsidRPr="00E14129">
        <w:rPr>
          <w:rFonts w:ascii="Verdana" w:hAnsi="Verdana"/>
          <w:b/>
          <w:bCs/>
          <w:sz w:val="28"/>
          <w:szCs w:val="28"/>
        </w:rPr>
        <w:t>.</w:t>
      </w:r>
      <w:bookmarkStart w:id="2" w:name="_Toc152832557"/>
    </w:p>
    <w:p w:rsidR="00BB4D1C" w:rsidRDefault="001D25AE" w:rsidP="00377FDC">
      <w:pPr>
        <w:pStyle w:val="t1cntr"/>
        <w:spacing w:before="240" w:beforeAutospacing="0" w:after="0" w:afterAutospacing="0" w:line="276" w:lineRule="auto"/>
        <w:jc w:val="center"/>
        <w:rPr>
          <w:sz w:val="22"/>
          <w:szCs w:val="22"/>
        </w:rPr>
      </w:pPr>
      <w:r w:rsidRPr="00E14129">
        <w:rPr>
          <w:rFonts w:ascii="Verdana" w:hAnsi="Verdana"/>
          <w:b/>
          <w:bCs/>
          <w:sz w:val="28"/>
          <w:szCs w:val="28"/>
        </w:rPr>
        <w:t>SARAH OKECHUKWU</w:t>
      </w:r>
      <w:bookmarkStart w:id="3" w:name="_Toc152832558"/>
      <w:bookmarkEnd w:id="2"/>
    </w:p>
    <w:p w:rsidR="00BB4D1C" w:rsidRDefault="001D25AE" w:rsidP="00377FDC">
      <w:pPr>
        <w:pStyle w:val="t1cntr"/>
        <w:spacing w:before="240" w:beforeAutospacing="0" w:after="0" w:afterAutospacing="0" w:line="276" w:lineRule="auto"/>
        <w:jc w:val="center"/>
        <w:rPr>
          <w:rFonts w:ascii="Verdana" w:hAnsi="Verdana"/>
          <w:bCs/>
          <w:sz w:val="22"/>
          <w:szCs w:val="22"/>
        </w:rPr>
      </w:pPr>
      <w:r w:rsidRPr="00E14129">
        <w:rPr>
          <w:rFonts w:ascii="Verdana" w:hAnsi="Verdana"/>
          <w:bCs/>
          <w:sz w:val="22"/>
          <w:szCs w:val="22"/>
        </w:rPr>
        <w:t>SUPREME COURT OF NIGERIA</w:t>
      </w:r>
      <w:bookmarkStart w:id="4" w:name="_Toc152832562"/>
      <w:bookmarkEnd w:id="3"/>
    </w:p>
    <w:p w:rsidR="00BB4D1C" w:rsidRDefault="00377FDC" w:rsidP="00377FDC">
      <w:pPr>
        <w:pStyle w:val="t1cntr"/>
        <w:spacing w:before="240" w:beforeAutospacing="0" w:after="0" w:afterAutospacing="0" w:line="276" w:lineRule="auto"/>
        <w:jc w:val="center"/>
        <w:rPr>
          <w:sz w:val="22"/>
          <w:szCs w:val="22"/>
        </w:rPr>
      </w:pPr>
      <w:r>
        <w:rPr>
          <w:rFonts w:ascii="Verdana" w:hAnsi="Verdana"/>
          <w:bCs/>
          <w:sz w:val="22"/>
          <w:szCs w:val="22"/>
        </w:rPr>
        <w:t>12TH</w:t>
      </w:r>
      <w:r w:rsidR="001D25AE" w:rsidRPr="00E14129">
        <w:rPr>
          <w:rFonts w:ascii="Verdana" w:hAnsi="Verdana"/>
          <w:bCs/>
          <w:sz w:val="22"/>
          <w:szCs w:val="22"/>
        </w:rPr>
        <w:t xml:space="preserve"> </w:t>
      </w:r>
      <w:r>
        <w:rPr>
          <w:rFonts w:ascii="Verdana" w:hAnsi="Verdana"/>
          <w:bCs/>
          <w:sz w:val="22"/>
          <w:szCs w:val="22"/>
        </w:rPr>
        <w:t>DAY OF MAY</w:t>
      </w:r>
      <w:r w:rsidR="001D25AE" w:rsidRPr="00E14129">
        <w:rPr>
          <w:rFonts w:ascii="Verdana" w:hAnsi="Verdana"/>
          <w:bCs/>
          <w:sz w:val="22"/>
          <w:szCs w:val="22"/>
        </w:rPr>
        <w:t>, 1972</w:t>
      </w:r>
      <w:bookmarkStart w:id="5" w:name="_Toc152832563"/>
      <w:bookmarkEnd w:id="4"/>
    </w:p>
    <w:p w:rsidR="00C50097" w:rsidRDefault="001D25AE" w:rsidP="00377FDC">
      <w:pPr>
        <w:pStyle w:val="t1cntr"/>
        <w:spacing w:before="240" w:beforeAutospacing="0" w:after="0" w:afterAutospacing="0" w:line="276" w:lineRule="auto"/>
        <w:jc w:val="center"/>
        <w:rPr>
          <w:rFonts w:ascii="Verdana" w:hAnsi="Verdana"/>
          <w:bCs/>
          <w:sz w:val="22"/>
          <w:szCs w:val="22"/>
        </w:rPr>
      </w:pPr>
      <w:r w:rsidRPr="00E14129">
        <w:rPr>
          <w:rFonts w:ascii="Verdana" w:hAnsi="Verdana"/>
          <w:bCs/>
          <w:sz w:val="22"/>
          <w:szCs w:val="22"/>
        </w:rPr>
        <w:t>SUIT NO. SC</w:t>
      </w:r>
      <w:r w:rsidR="00377FDC">
        <w:rPr>
          <w:rFonts w:ascii="Verdana" w:hAnsi="Verdana"/>
          <w:bCs/>
          <w:sz w:val="22"/>
          <w:szCs w:val="22"/>
        </w:rPr>
        <w:t>.</w:t>
      </w:r>
      <w:r w:rsidRPr="00E14129">
        <w:rPr>
          <w:rFonts w:ascii="Verdana" w:hAnsi="Verdana"/>
          <w:bCs/>
          <w:sz w:val="22"/>
          <w:szCs w:val="22"/>
        </w:rPr>
        <w:t xml:space="preserve"> 265/66</w:t>
      </w:r>
      <w:bookmarkEnd w:id="5"/>
    </w:p>
    <w:p w:rsidR="00377FDC" w:rsidRDefault="00377FDC" w:rsidP="00377FDC">
      <w:pPr>
        <w:pStyle w:val="t1cntr"/>
        <w:spacing w:before="240" w:beforeAutospacing="0" w:after="0" w:afterAutospacing="0" w:line="276" w:lineRule="auto"/>
        <w:jc w:val="center"/>
        <w:rPr>
          <w:rFonts w:ascii="Verdana" w:hAnsi="Verdana"/>
          <w:bCs/>
          <w:sz w:val="22"/>
          <w:szCs w:val="22"/>
        </w:rPr>
      </w:pPr>
      <w:r>
        <w:rPr>
          <w:rFonts w:ascii="Verdana" w:hAnsi="Verdana"/>
          <w:b/>
          <w:bCs/>
          <w:sz w:val="22"/>
          <w:szCs w:val="22"/>
        </w:rPr>
        <w:t xml:space="preserve">LEX (1972) - </w:t>
      </w:r>
      <w:r w:rsidRPr="00377FDC">
        <w:rPr>
          <w:rFonts w:ascii="Verdana" w:hAnsi="Verdana"/>
          <w:b/>
          <w:bCs/>
          <w:sz w:val="22"/>
          <w:szCs w:val="22"/>
        </w:rPr>
        <w:t>SC. 265/66</w:t>
      </w:r>
    </w:p>
    <w:p w:rsidR="00377FDC" w:rsidRDefault="00377FDC" w:rsidP="00377FDC">
      <w:pPr>
        <w:pStyle w:val="t1cntr"/>
        <w:spacing w:before="240" w:beforeAutospacing="0" w:after="0" w:afterAutospacing="0" w:line="276" w:lineRule="auto"/>
        <w:jc w:val="center"/>
        <w:rPr>
          <w:rFonts w:ascii="Verdana" w:hAnsi="Verdana"/>
          <w:bCs/>
          <w:sz w:val="22"/>
          <w:szCs w:val="22"/>
        </w:rPr>
      </w:pPr>
    </w:p>
    <w:p w:rsidR="00377FDC" w:rsidRDefault="00377FDC" w:rsidP="00377FDC">
      <w:pPr>
        <w:pStyle w:val="t1cntr"/>
        <w:spacing w:before="240" w:beforeAutospacing="0" w:after="0" w:afterAutospacing="0" w:line="276" w:lineRule="auto"/>
        <w:jc w:val="center"/>
        <w:rPr>
          <w:rFonts w:ascii="Verdana" w:hAnsi="Verdana"/>
          <w:bCs/>
          <w:sz w:val="22"/>
          <w:szCs w:val="22"/>
        </w:rPr>
      </w:pPr>
    </w:p>
    <w:p w:rsidR="00377FDC" w:rsidRDefault="00377FDC" w:rsidP="00377FDC">
      <w:pPr>
        <w:pStyle w:val="t1cntr"/>
        <w:spacing w:before="240" w:beforeAutospacing="0" w:after="0" w:afterAutospacing="0" w:line="276" w:lineRule="auto"/>
        <w:jc w:val="center"/>
        <w:rPr>
          <w:rFonts w:ascii="Verdana" w:hAnsi="Verdana"/>
          <w:bCs/>
          <w:sz w:val="22"/>
          <w:szCs w:val="22"/>
        </w:rPr>
      </w:pPr>
    </w:p>
    <w:p w:rsidR="00377FDC" w:rsidRPr="00377FDC" w:rsidRDefault="00E14129" w:rsidP="00377FDC">
      <w:pPr>
        <w:spacing w:after="0"/>
        <w:jc w:val="right"/>
        <w:rPr>
          <w:rFonts w:ascii="Verdana" w:eastAsia="HiraMinPro-W3" w:hAnsi="Verdana"/>
          <w:sz w:val="20"/>
          <w:szCs w:val="20"/>
        </w:rPr>
      </w:pPr>
      <w:r w:rsidRPr="00377FDC">
        <w:rPr>
          <w:rFonts w:ascii="Verdana" w:eastAsia="HiraMinPro-W3" w:hAnsi="Verdana"/>
          <w:sz w:val="20"/>
          <w:szCs w:val="20"/>
        </w:rPr>
        <w:t>OTHER CITATIONS</w:t>
      </w:r>
    </w:p>
    <w:p w:rsidR="00377FDC" w:rsidRPr="00377FDC" w:rsidRDefault="00377FDC" w:rsidP="00377FDC">
      <w:pPr>
        <w:spacing w:after="0"/>
        <w:jc w:val="right"/>
        <w:rPr>
          <w:rFonts w:ascii="Verdana" w:hAnsi="Verdana"/>
          <w:bCs/>
          <w:color w:val="000000" w:themeColor="text1"/>
          <w:sz w:val="20"/>
          <w:szCs w:val="20"/>
          <w:lang w:val="fr-FR"/>
        </w:rPr>
      </w:pPr>
      <w:r w:rsidRPr="00377FDC">
        <w:rPr>
          <w:rFonts w:ascii="Verdana" w:hAnsi="Verdana"/>
          <w:color w:val="000000" w:themeColor="text1"/>
          <w:sz w:val="20"/>
          <w:szCs w:val="20"/>
          <w:lang w:val="fr-FR"/>
        </w:rPr>
        <w:t>2</w:t>
      </w:r>
      <w:r>
        <w:rPr>
          <w:rFonts w:ascii="Verdana" w:hAnsi="Verdana"/>
          <w:color w:val="000000" w:themeColor="text1"/>
          <w:sz w:val="20"/>
          <w:szCs w:val="20"/>
          <w:lang w:val="fr-FR"/>
        </w:rPr>
        <w:t>PLR/1972/135</w:t>
      </w:r>
      <w:r w:rsidRPr="00377FDC">
        <w:rPr>
          <w:rFonts w:ascii="Verdana" w:hAnsi="Verdana"/>
          <w:color w:val="000000" w:themeColor="text1"/>
          <w:sz w:val="20"/>
          <w:szCs w:val="20"/>
          <w:lang w:val="fr-FR"/>
        </w:rPr>
        <w:t xml:space="preserve"> (SC)</w:t>
      </w:r>
    </w:p>
    <w:p w:rsidR="00BB4D1C" w:rsidRDefault="00377FDC" w:rsidP="00377FDC">
      <w:pPr>
        <w:jc w:val="right"/>
        <w:rPr>
          <w:rFonts w:ascii="Verdana" w:eastAsia="HiraMinPro-W3" w:hAnsi="Verdana"/>
          <w:b/>
          <w:sz w:val="20"/>
          <w:szCs w:val="20"/>
        </w:rPr>
      </w:pPr>
      <w:r w:rsidRPr="001507B6">
        <w:rPr>
          <w:rFonts w:ascii="Verdana" w:hAnsi="Verdana"/>
          <w:color w:val="000000" w:themeColor="text1"/>
          <w:sz w:val="20"/>
          <w:szCs w:val="20"/>
          <w:lang w:val="fr-FR"/>
        </w:rPr>
        <w:t xml:space="preserve"> </w:t>
      </w:r>
      <w:r w:rsidR="00C50097" w:rsidRPr="001507B6">
        <w:rPr>
          <w:rFonts w:ascii="Verdana" w:hAnsi="Verdana"/>
          <w:color w:val="000000" w:themeColor="text1"/>
          <w:sz w:val="20"/>
          <w:szCs w:val="20"/>
          <w:lang w:val="fr-FR"/>
        </w:rPr>
        <w:t>(1972) 5 S.C.</w:t>
      </w:r>
      <w:r w:rsidR="00C50097">
        <w:rPr>
          <w:rFonts w:ascii="Verdana" w:hAnsi="Verdana"/>
          <w:color w:val="000000" w:themeColor="text1"/>
          <w:sz w:val="20"/>
          <w:szCs w:val="20"/>
          <w:lang w:val="fr-FR"/>
        </w:rPr>
        <w:t xml:space="preserve"> </w:t>
      </w:r>
      <w:r>
        <w:rPr>
          <w:rFonts w:ascii="Verdana" w:hAnsi="Verdana"/>
          <w:color w:val="000000" w:themeColor="text1"/>
          <w:sz w:val="20"/>
          <w:szCs w:val="20"/>
          <w:lang w:val="fr-FR"/>
        </w:rPr>
        <w:t>(REPRINT)</w:t>
      </w:r>
      <w:r w:rsidR="00C50097" w:rsidRPr="001507B6">
        <w:rPr>
          <w:rFonts w:ascii="Verdana" w:hAnsi="Verdana"/>
          <w:color w:val="000000" w:themeColor="text1"/>
          <w:sz w:val="20"/>
          <w:szCs w:val="20"/>
          <w:lang w:val="fr-FR"/>
        </w:rPr>
        <w:t xml:space="preserve"> </w:t>
      </w:r>
      <w:r w:rsidR="00C50097" w:rsidRPr="001507B6">
        <w:rPr>
          <w:rFonts w:ascii="Verdana" w:hAnsi="Verdana"/>
          <w:color w:val="000000" w:themeColor="text1"/>
          <w:sz w:val="20"/>
          <w:szCs w:val="20"/>
        </w:rPr>
        <w:t>123</w:t>
      </w:r>
    </w:p>
    <w:p w:rsidR="001D25AE" w:rsidRPr="00377FDC" w:rsidRDefault="001D25AE" w:rsidP="00377FDC">
      <w:pPr>
        <w:pStyle w:val="t1cntr"/>
        <w:spacing w:before="240" w:beforeAutospacing="0" w:after="0" w:afterAutospacing="0" w:line="276" w:lineRule="auto"/>
        <w:jc w:val="both"/>
        <w:rPr>
          <w:sz w:val="22"/>
          <w:szCs w:val="22"/>
        </w:rPr>
      </w:pPr>
      <w:r w:rsidRPr="00377FDC">
        <w:rPr>
          <w:rFonts w:ascii="Verdana" w:eastAsia="HiraMinPro-W3" w:hAnsi="Verdana"/>
          <w:b/>
          <w:sz w:val="22"/>
          <w:szCs w:val="22"/>
        </w:rPr>
        <w:t>BEFORE THEIR LORDSHIPS:</w:t>
      </w:r>
      <w:r w:rsidRPr="00377FDC">
        <w:rPr>
          <w:rFonts w:ascii="Verdana" w:eastAsia="HiraMinPro-W3" w:hAnsi="Verdana"/>
          <w:b/>
          <w:bCs/>
          <w:sz w:val="22"/>
          <w:szCs w:val="22"/>
        </w:rPr>
        <w:t xml:space="preserve">  </w:t>
      </w:r>
      <w:r w:rsidRPr="00377FDC">
        <w:rPr>
          <w:rFonts w:ascii="Verdana" w:hAnsi="Verdana"/>
          <w:b/>
          <w:bCs/>
          <w:sz w:val="22"/>
          <w:szCs w:val="22"/>
        </w:rPr>
        <w:t xml:space="preserve">      </w:t>
      </w:r>
    </w:p>
    <w:p w:rsidR="001D25AE" w:rsidRPr="00377FDC" w:rsidRDefault="00377FDC" w:rsidP="00377FDC">
      <w:pPr>
        <w:pStyle w:val="t1cntr"/>
        <w:spacing w:before="240" w:beforeAutospacing="0" w:after="0" w:afterAutospacing="0" w:line="276" w:lineRule="auto"/>
        <w:jc w:val="both"/>
        <w:rPr>
          <w:sz w:val="22"/>
          <w:szCs w:val="22"/>
        </w:rPr>
      </w:pPr>
      <w:bookmarkStart w:id="6" w:name="_Toc152832559"/>
      <w:r>
        <w:rPr>
          <w:rFonts w:ascii="Verdana" w:hAnsi="Verdana"/>
          <w:bCs/>
          <w:sz w:val="22"/>
          <w:szCs w:val="22"/>
        </w:rPr>
        <w:t xml:space="preserve">TASLIM </w:t>
      </w:r>
      <w:r w:rsidR="001D25AE" w:rsidRPr="00377FDC">
        <w:rPr>
          <w:rFonts w:ascii="Verdana" w:hAnsi="Verdana"/>
          <w:bCs/>
          <w:sz w:val="22"/>
          <w:szCs w:val="22"/>
        </w:rPr>
        <w:t>ELIAS, C.J.N.</w:t>
      </w:r>
      <w:bookmarkEnd w:id="6"/>
    </w:p>
    <w:p w:rsidR="001D25AE" w:rsidRPr="00377FDC" w:rsidRDefault="00377FDC" w:rsidP="00377FDC">
      <w:pPr>
        <w:pStyle w:val="t1cntr"/>
        <w:spacing w:before="240" w:beforeAutospacing="0" w:after="0" w:afterAutospacing="0" w:line="276" w:lineRule="auto"/>
        <w:jc w:val="both"/>
        <w:rPr>
          <w:sz w:val="22"/>
          <w:szCs w:val="22"/>
        </w:rPr>
      </w:pPr>
      <w:bookmarkStart w:id="7" w:name="_Toc152832560"/>
      <w:r>
        <w:rPr>
          <w:rFonts w:ascii="Verdana" w:hAnsi="Verdana"/>
          <w:bCs/>
          <w:sz w:val="22"/>
          <w:szCs w:val="22"/>
        </w:rPr>
        <w:t xml:space="preserve">ATANDA </w:t>
      </w:r>
      <w:r w:rsidR="001D25AE" w:rsidRPr="00377FDC">
        <w:rPr>
          <w:rFonts w:ascii="Verdana" w:hAnsi="Verdana"/>
          <w:bCs/>
          <w:sz w:val="22"/>
          <w:szCs w:val="22"/>
        </w:rPr>
        <w:t>FATAI-WILLIAMS, J.S.C.</w:t>
      </w:r>
      <w:bookmarkEnd w:id="7"/>
      <w:r w:rsidR="001D25AE" w:rsidRPr="00377FDC">
        <w:rPr>
          <w:rFonts w:ascii="Verdana" w:hAnsi="Verdana"/>
          <w:bCs/>
          <w:sz w:val="22"/>
          <w:szCs w:val="22"/>
        </w:rPr>
        <w:t xml:space="preserve"> </w:t>
      </w:r>
    </w:p>
    <w:p w:rsidR="001D25AE" w:rsidRPr="00377FDC" w:rsidRDefault="00377FDC" w:rsidP="00377FDC">
      <w:pPr>
        <w:pStyle w:val="t1cntr"/>
        <w:spacing w:before="240" w:beforeAutospacing="0" w:after="0" w:afterAutospacing="0" w:line="276" w:lineRule="auto"/>
        <w:jc w:val="both"/>
        <w:rPr>
          <w:sz w:val="22"/>
          <w:szCs w:val="22"/>
        </w:rPr>
      </w:pPr>
      <w:bookmarkStart w:id="8" w:name="_Toc152832561"/>
      <w:r>
        <w:rPr>
          <w:rFonts w:ascii="Verdana" w:hAnsi="Verdana"/>
          <w:bCs/>
          <w:sz w:val="22"/>
          <w:szCs w:val="22"/>
        </w:rPr>
        <w:t xml:space="preserve">SODEINDE </w:t>
      </w:r>
      <w:r w:rsidR="001D25AE" w:rsidRPr="00377FDC">
        <w:rPr>
          <w:rFonts w:ascii="Verdana" w:hAnsi="Verdana"/>
          <w:bCs/>
          <w:sz w:val="22"/>
          <w:szCs w:val="22"/>
        </w:rPr>
        <w:t>SOWEMIMO, J.S.C.</w:t>
      </w:r>
      <w:bookmarkEnd w:id="8"/>
      <w:r w:rsidR="001D25AE" w:rsidRPr="00377FDC">
        <w:rPr>
          <w:rFonts w:ascii="Verdana" w:hAnsi="Verdana"/>
          <w:bCs/>
          <w:sz w:val="22"/>
          <w:szCs w:val="22"/>
        </w:rPr>
        <w:t xml:space="preserve"> </w:t>
      </w:r>
    </w:p>
    <w:p w:rsidR="00E14129" w:rsidRPr="00377FDC" w:rsidRDefault="00E14129" w:rsidP="00377FDC">
      <w:pPr>
        <w:pStyle w:val="body2indt"/>
        <w:spacing w:before="240" w:beforeAutospacing="0" w:after="0" w:afterAutospacing="0" w:line="276" w:lineRule="auto"/>
        <w:jc w:val="both"/>
        <w:rPr>
          <w:rFonts w:ascii="Verdana" w:hAnsi="Verdana"/>
          <w:b/>
          <w:sz w:val="22"/>
          <w:szCs w:val="22"/>
        </w:rPr>
      </w:pPr>
    </w:p>
    <w:p w:rsidR="00377FDC" w:rsidRDefault="00377FDC" w:rsidP="00377FDC">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lastRenderedPageBreak/>
        <w:t>BETWEEN</w:t>
      </w:r>
    </w:p>
    <w:p w:rsidR="00377FDC" w:rsidRPr="00377FDC" w:rsidRDefault="00377FDC" w:rsidP="00377FDC">
      <w:pPr>
        <w:pStyle w:val="t1cntr"/>
        <w:spacing w:before="240" w:beforeAutospacing="0" w:after="0" w:afterAutospacing="0" w:line="276" w:lineRule="auto"/>
        <w:rPr>
          <w:rFonts w:ascii="Verdana" w:hAnsi="Verdana"/>
          <w:bCs/>
          <w:sz w:val="22"/>
          <w:szCs w:val="22"/>
        </w:rPr>
      </w:pPr>
      <w:r w:rsidRPr="00377FDC">
        <w:rPr>
          <w:rFonts w:ascii="Verdana" w:hAnsi="Verdana"/>
          <w:bCs/>
          <w:sz w:val="22"/>
          <w:szCs w:val="22"/>
        </w:rPr>
        <w:t>OKOYE OYIDIOBU</w:t>
      </w:r>
      <w:r>
        <w:rPr>
          <w:rFonts w:ascii="Verdana" w:hAnsi="Verdana"/>
          <w:bCs/>
          <w:sz w:val="22"/>
          <w:szCs w:val="22"/>
        </w:rPr>
        <w:t xml:space="preserve"> – Appellant </w:t>
      </w:r>
    </w:p>
    <w:p w:rsidR="00377FDC" w:rsidRPr="00377FDC" w:rsidRDefault="00377FDC" w:rsidP="00377FDC">
      <w:pPr>
        <w:pStyle w:val="t1cntr"/>
        <w:spacing w:before="240" w:beforeAutospacing="0" w:after="0" w:afterAutospacing="0" w:line="276" w:lineRule="auto"/>
        <w:rPr>
          <w:rFonts w:ascii="Verdana" w:hAnsi="Verdana"/>
          <w:bCs/>
          <w:sz w:val="22"/>
          <w:szCs w:val="22"/>
        </w:rPr>
      </w:pPr>
      <w:r>
        <w:rPr>
          <w:rFonts w:ascii="Verdana" w:hAnsi="Verdana"/>
          <w:bCs/>
          <w:sz w:val="22"/>
          <w:szCs w:val="22"/>
        </w:rPr>
        <w:t>AND</w:t>
      </w:r>
    </w:p>
    <w:p w:rsidR="00377FDC" w:rsidRPr="00377FDC" w:rsidRDefault="00377FDC" w:rsidP="00377FDC">
      <w:pPr>
        <w:pStyle w:val="t1cntr"/>
        <w:spacing w:before="240" w:beforeAutospacing="0" w:after="0" w:afterAutospacing="0" w:line="276" w:lineRule="auto"/>
        <w:rPr>
          <w:sz w:val="22"/>
          <w:szCs w:val="22"/>
        </w:rPr>
      </w:pPr>
      <w:r w:rsidRPr="00377FDC">
        <w:rPr>
          <w:rFonts w:ascii="Verdana" w:hAnsi="Verdana"/>
          <w:bCs/>
          <w:sz w:val="22"/>
          <w:szCs w:val="22"/>
        </w:rPr>
        <w:t>SARAH OKECHUKWU</w:t>
      </w:r>
      <w:r>
        <w:rPr>
          <w:rFonts w:ascii="Verdana" w:hAnsi="Verdana"/>
          <w:bCs/>
          <w:sz w:val="22"/>
          <w:szCs w:val="22"/>
        </w:rPr>
        <w:t xml:space="preserve"> – Respondent </w:t>
      </w:r>
    </w:p>
    <w:p w:rsidR="00377FDC" w:rsidRDefault="00377FDC" w:rsidP="00377FDC">
      <w:pPr>
        <w:pStyle w:val="body2indt"/>
        <w:spacing w:before="240" w:beforeAutospacing="0" w:after="0" w:afterAutospacing="0" w:line="276" w:lineRule="auto"/>
        <w:jc w:val="both"/>
        <w:rPr>
          <w:rFonts w:ascii="Verdana" w:hAnsi="Verdana"/>
          <w:b/>
          <w:sz w:val="22"/>
          <w:szCs w:val="22"/>
        </w:rPr>
      </w:pPr>
    </w:p>
    <w:p w:rsidR="00377FDC" w:rsidRDefault="00377FDC" w:rsidP="00377FDC">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 xml:space="preserve">ORIGINATING COURT </w:t>
      </w:r>
    </w:p>
    <w:p w:rsidR="00377FDC" w:rsidRDefault="00377FDC" w:rsidP="00377FDC">
      <w:pPr>
        <w:pStyle w:val="body2indt"/>
        <w:spacing w:before="240" w:beforeAutospacing="0" w:after="0" w:afterAutospacing="0" w:line="276" w:lineRule="auto"/>
        <w:jc w:val="both"/>
        <w:rPr>
          <w:rFonts w:ascii="Verdana" w:hAnsi="Verdana"/>
          <w:b/>
          <w:sz w:val="22"/>
          <w:szCs w:val="22"/>
        </w:rPr>
      </w:pPr>
      <w:r w:rsidRPr="00003B35">
        <w:rPr>
          <w:rFonts w:ascii="Verdana" w:hAnsi="Verdana"/>
          <w:sz w:val="22"/>
          <w:szCs w:val="22"/>
        </w:rPr>
        <w:t xml:space="preserve">HIGH COURT, </w:t>
      </w:r>
      <w:r w:rsidRPr="00003B35">
        <w:rPr>
          <w:rStyle w:val="spelle"/>
          <w:rFonts w:ascii="Verdana" w:hAnsi="Verdana"/>
          <w:sz w:val="22"/>
          <w:szCs w:val="22"/>
        </w:rPr>
        <w:t>ONITSHA</w:t>
      </w:r>
      <w:r>
        <w:rPr>
          <w:rFonts w:ascii="Verdana" w:hAnsi="Verdana"/>
          <w:sz w:val="22"/>
          <w:szCs w:val="22"/>
        </w:rPr>
        <w:t xml:space="preserve"> (</w:t>
      </w:r>
      <w:r w:rsidRPr="00003B35">
        <w:rPr>
          <w:rFonts w:ascii="Verdana" w:hAnsi="Verdana"/>
          <w:sz w:val="22"/>
          <w:szCs w:val="22"/>
        </w:rPr>
        <w:t xml:space="preserve">H. U. </w:t>
      </w:r>
      <w:proofErr w:type="spellStart"/>
      <w:r w:rsidRPr="00003B35">
        <w:rPr>
          <w:rStyle w:val="spelle"/>
          <w:rFonts w:ascii="Verdana" w:hAnsi="Verdana"/>
          <w:sz w:val="22"/>
          <w:szCs w:val="22"/>
        </w:rPr>
        <w:t>Kaine</w:t>
      </w:r>
      <w:proofErr w:type="spellEnd"/>
      <w:r w:rsidRPr="00003B35">
        <w:rPr>
          <w:rFonts w:ascii="Verdana" w:hAnsi="Verdana"/>
          <w:sz w:val="22"/>
          <w:szCs w:val="22"/>
        </w:rPr>
        <w:t>, J.,</w:t>
      </w:r>
      <w:r>
        <w:rPr>
          <w:rFonts w:ascii="Verdana" w:hAnsi="Verdana"/>
          <w:sz w:val="22"/>
          <w:szCs w:val="22"/>
        </w:rPr>
        <w:t xml:space="preserve"> Presiding)</w:t>
      </w:r>
    </w:p>
    <w:p w:rsidR="00377FDC" w:rsidRDefault="00377FDC" w:rsidP="00377FDC">
      <w:pPr>
        <w:pStyle w:val="body2indt"/>
        <w:spacing w:before="240" w:beforeAutospacing="0" w:after="0" w:afterAutospacing="0" w:line="276" w:lineRule="auto"/>
        <w:jc w:val="both"/>
        <w:rPr>
          <w:rFonts w:ascii="Verdana" w:hAnsi="Verdana"/>
          <w:b/>
          <w:sz w:val="22"/>
          <w:szCs w:val="22"/>
        </w:rPr>
      </w:pPr>
    </w:p>
    <w:p w:rsidR="00E14129" w:rsidRPr="00377FDC" w:rsidRDefault="00E14129" w:rsidP="00377FDC">
      <w:pPr>
        <w:pStyle w:val="body2indt"/>
        <w:spacing w:before="240" w:beforeAutospacing="0" w:after="0" w:afterAutospacing="0" w:line="276" w:lineRule="auto"/>
        <w:jc w:val="both"/>
        <w:rPr>
          <w:rFonts w:ascii="Verdana" w:hAnsi="Verdana"/>
          <w:b/>
          <w:sz w:val="22"/>
          <w:szCs w:val="22"/>
        </w:rPr>
      </w:pPr>
      <w:r w:rsidRPr="00377FDC">
        <w:rPr>
          <w:rFonts w:ascii="Verdana" w:hAnsi="Verdana"/>
          <w:b/>
          <w:sz w:val="22"/>
          <w:szCs w:val="22"/>
        </w:rPr>
        <w:t>REPRESENTATION</w:t>
      </w:r>
    </w:p>
    <w:p w:rsidR="001D25AE" w:rsidRPr="00377FDC" w:rsidRDefault="001D25AE" w:rsidP="00377FDC">
      <w:pPr>
        <w:pStyle w:val="body2indt"/>
        <w:spacing w:before="240" w:beforeAutospacing="0" w:after="0" w:afterAutospacing="0" w:line="276" w:lineRule="auto"/>
        <w:jc w:val="both"/>
        <w:rPr>
          <w:sz w:val="22"/>
          <w:szCs w:val="22"/>
        </w:rPr>
      </w:pPr>
      <w:r w:rsidRPr="00377FDC">
        <w:rPr>
          <w:rFonts w:ascii="Verdana" w:hAnsi="Verdana"/>
          <w:sz w:val="22"/>
          <w:szCs w:val="22"/>
        </w:rPr>
        <w:t xml:space="preserve">H. J. </w:t>
      </w:r>
      <w:r w:rsidR="00377FDC" w:rsidRPr="00377FDC">
        <w:rPr>
          <w:rStyle w:val="spelle"/>
          <w:rFonts w:ascii="Verdana" w:hAnsi="Verdana"/>
          <w:sz w:val="22"/>
          <w:szCs w:val="22"/>
        </w:rPr>
        <w:t>WHYTE</w:t>
      </w:r>
      <w:r w:rsidRPr="00377FDC">
        <w:rPr>
          <w:rFonts w:ascii="Verdana" w:hAnsi="Verdana"/>
          <w:sz w:val="22"/>
          <w:szCs w:val="22"/>
        </w:rPr>
        <w:t xml:space="preserve"> for Appellant </w:t>
      </w:r>
    </w:p>
    <w:p w:rsidR="001D25AE" w:rsidRPr="00377FDC" w:rsidRDefault="001D25AE" w:rsidP="00377FDC">
      <w:pPr>
        <w:pStyle w:val="body2indt"/>
        <w:spacing w:before="240" w:beforeAutospacing="0" w:after="0" w:afterAutospacing="0" w:line="276" w:lineRule="auto"/>
        <w:jc w:val="both"/>
        <w:rPr>
          <w:sz w:val="22"/>
          <w:szCs w:val="22"/>
        </w:rPr>
      </w:pPr>
      <w:proofErr w:type="gramStart"/>
      <w:r w:rsidRPr="00377FDC">
        <w:rPr>
          <w:rStyle w:val="grame"/>
          <w:rFonts w:ascii="Verdana" w:hAnsi="Verdana"/>
          <w:sz w:val="22"/>
          <w:szCs w:val="22"/>
        </w:rPr>
        <w:t>G. R. I.</w:t>
      </w:r>
      <w:r w:rsidR="00377FDC" w:rsidRPr="00377FDC">
        <w:rPr>
          <w:rStyle w:val="grame"/>
          <w:rFonts w:ascii="Verdana" w:hAnsi="Verdana"/>
          <w:sz w:val="22"/>
          <w:szCs w:val="22"/>
        </w:rPr>
        <w:t xml:space="preserve"> </w:t>
      </w:r>
      <w:r w:rsidR="00377FDC" w:rsidRPr="00377FDC">
        <w:rPr>
          <w:rStyle w:val="spelle"/>
          <w:rFonts w:ascii="Verdana" w:hAnsi="Verdana"/>
          <w:sz w:val="22"/>
          <w:szCs w:val="22"/>
        </w:rPr>
        <w:t>EGONU</w:t>
      </w:r>
      <w:r w:rsidR="00377FDC" w:rsidRPr="00377FDC">
        <w:rPr>
          <w:rStyle w:val="grame"/>
          <w:rFonts w:ascii="Verdana" w:hAnsi="Verdana"/>
          <w:sz w:val="22"/>
          <w:szCs w:val="22"/>
        </w:rPr>
        <w:t xml:space="preserve"> </w:t>
      </w:r>
      <w:r w:rsidRPr="00377FDC">
        <w:rPr>
          <w:rStyle w:val="grame"/>
          <w:rFonts w:ascii="Verdana" w:hAnsi="Verdana"/>
          <w:sz w:val="22"/>
          <w:szCs w:val="22"/>
        </w:rPr>
        <w:t>for Respondent.</w:t>
      </w:r>
      <w:proofErr w:type="gramEnd"/>
    </w:p>
    <w:p w:rsidR="00E14129" w:rsidRPr="00377FDC" w:rsidRDefault="00E14129" w:rsidP="00377FDC">
      <w:pPr>
        <w:pStyle w:val="NormalWeb"/>
        <w:spacing w:before="240" w:beforeAutospacing="0" w:after="0" w:afterAutospacing="0" w:line="276" w:lineRule="auto"/>
        <w:jc w:val="both"/>
        <w:rPr>
          <w:rFonts w:ascii="Verdana" w:hAnsi="Verdana"/>
          <w:b/>
          <w:iCs/>
          <w:sz w:val="22"/>
          <w:szCs w:val="22"/>
        </w:rPr>
      </w:pPr>
    </w:p>
    <w:p w:rsidR="00E14129" w:rsidRPr="00377FDC" w:rsidRDefault="00E14129" w:rsidP="00377FDC">
      <w:pPr>
        <w:pStyle w:val="NormalWeb"/>
        <w:spacing w:before="240" w:beforeAutospacing="0" w:after="0" w:afterAutospacing="0" w:line="276" w:lineRule="auto"/>
        <w:jc w:val="both"/>
        <w:rPr>
          <w:rFonts w:ascii="Verdana" w:hAnsi="Verdana"/>
          <w:b/>
          <w:sz w:val="22"/>
          <w:szCs w:val="22"/>
        </w:rPr>
      </w:pPr>
      <w:r w:rsidRPr="00377FDC">
        <w:rPr>
          <w:rFonts w:ascii="Verdana" w:hAnsi="Verdana"/>
          <w:b/>
          <w:iCs/>
          <w:sz w:val="22"/>
          <w:szCs w:val="22"/>
        </w:rPr>
        <w:t>ISSUES</w:t>
      </w:r>
      <w:r w:rsidRPr="00377FDC">
        <w:rPr>
          <w:rFonts w:ascii="Verdana" w:hAnsi="Verdana"/>
          <w:b/>
          <w:sz w:val="22"/>
          <w:szCs w:val="22"/>
        </w:rPr>
        <w:t xml:space="preserve"> </w:t>
      </w:r>
      <w:r w:rsidR="00377FDC">
        <w:rPr>
          <w:rFonts w:ascii="Verdana" w:hAnsi="Verdana"/>
          <w:b/>
          <w:sz w:val="22"/>
          <w:szCs w:val="22"/>
        </w:rPr>
        <w:t xml:space="preserve">FROM THE CAUSE(S) OF ACTION </w:t>
      </w:r>
    </w:p>
    <w:p w:rsidR="00E14129" w:rsidRPr="00377FDC" w:rsidRDefault="00E14129" w:rsidP="00377FDC">
      <w:pPr>
        <w:pStyle w:val="body2indt"/>
        <w:spacing w:before="240" w:beforeAutospacing="0" w:after="0" w:afterAutospacing="0" w:line="276" w:lineRule="auto"/>
        <w:jc w:val="both"/>
        <w:rPr>
          <w:rFonts w:ascii="Verdana" w:hAnsi="Verdana"/>
          <w:sz w:val="22"/>
          <w:szCs w:val="22"/>
        </w:rPr>
      </w:pPr>
      <w:r w:rsidRPr="00377FDC">
        <w:rPr>
          <w:rFonts w:ascii="Verdana" w:hAnsi="Verdana"/>
          <w:sz w:val="22"/>
          <w:szCs w:val="22"/>
        </w:rPr>
        <w:t xml:space="preserve">TORT </w:t>
      </w:r>
      <w:r w:rsidR="00525AE7" w:rsidRPr="00377FDC">
        <w:rPr>
          <w:rFonts w:ascii="Verdana" w:hAnsi="Verdana"/>
          <w:sz w:val="22"/>
          <w:szCs w:val="22"/>
        </w:rPr>
        <w:t>AND PERSONAL INJURY LAW</w:t>
      </w:r>
      <w:proofErr w:type="gramStart"/>
      <w:r w:rsidR="00525AE7" w:rsidRPr="00377FDC">
        <w:rPr>
          <w:rFonts w:ascii="Verdana" w:hAnsi="Verdana"/>
          <w:sz w:val="22"/>
          <w:szCs w:val="22"/>
        </w:rPr>
        <w:t>:</w:t>
      </w:r>
      <w:r w:rsidRPr="00377FDC">
        <w:rPr>
          <w:rFonts w:ascii="Verdana" w:hAnsi="Verdana"/>
          <w:sz w:val="22"/>
          <w:szCs w:val="22"/>
        </w:rPr>
        <w:t>–</w:t>
      </w:r>
      <w:proofErr w:type="gramEnd"/>
      <w:r w:rsidRPr="00377FDC">
        <w:rPr>
          <w:rFonts w:ascii="Verdana" w:hAnsi="Verdana"/>
          <w:sz w:val="22"/>
          <w:szCs w:val="22"/>
        </w:rPr>
        <w:t xml:space="preserve"> Nuisance – Definition of kola tenancy – Blockage of Plaintiff’s acce</w:t>
      </w:r>
      <w:r w:rsidR="00525AE7" w:rsidRPr="00377FDC">
        <w:rPr>
          <w:rFonts w:ascii="Verdana" w:hAnsi="Verdana"/>
          <w:sz w:val="22"/>
          <w:szCs w:val="22"/>
        </w:rPr>
        <w:t>s</w:t>
      </w:r>
      <w:r w:rsidRPr="00377FDC">
        <w:rPr>
          <w:rFonts w:ascii="Verdana" w:hAnsi="Verdana"/>
          <w:sz w:val="22"/>
          <w:szCs w:val="22"/>
        </w:rPr>
        <w:t>s way</w:t>
      </w:r>
      <w:r w:rsidR="00525AE7" w:rsidRPr="00377FDC">
        <w:rPr>
          <w:rFonts w:ascii="Verdana" w:hAnsi="Verdana"/>
          <w:sz w:val="22"/>
          <w:szCs w:val="22"/>
        </w:rPr>
        <w:t xml:space="preserve"> – Claim for d</w:t>
      </w:r>
      <w:r w:rsidRPr="00377FDC">
        <w:rPr>
          <w:rFonts w:ascii="Verdana" w:hAnsi="Verdana"/>
          <w:sz w:val="22"/>
          <w:szCs w:val="22"/>
        </w:rPr>
        <w:t>amages for nuisance</w:t>
      </w:r>
    </w:p>
    <w:p w:rsidR="00E14129" w:rsidRPr="00377FDC" w:rsidRDefault="00D02E37" w:rsidP="00377FDC">
      <w:pPr>
        <w:pStyle w:val="body2indt"/>
        <w:spacing w:before="240" w:beforeAutospacing="0" w:after="0" w:afterAutospacing="0" w:line="276" w:lineRule="auto"/>
        <w:jc w:val="both"/>
        <w:rPr>
          <w:rFonts w:ascii="Verdana" w:hAnsi="Verdana"/>
          <w:sz w:val="22"/>
          <w:szCs w:val="22"/>
        </w:rPr>
      </w:pPr>
      <w:r w:rsidRPr="00377FDC">
        <w:rPr>
          <w:rFonts w:ascii="Verdana" w:hAnsi="Verdana"/>
          <w:sz w:val="22"/>
          <w:szCs w:val="22"/>
        </w:rPr>
        <w:t>REAL ESTATE/LAND LAW</w:t>
      </w:r>
      <w:proofErr w:type="gramStart"/>
      <w:r w:rsidRPr="00377FDC">
        <w:rPr>
          <w:rFonts w:ascii="Verdana" w:hAnsi="Verdana"/>
          <w:sz w:val="22"/>
          <w:szCs w:val="22"/>
        </w:rPr>
        <w:t>:-</w:t>
      </w:r>
      <w:proofErr w:type="gramEnd"/>
      <w:r w:rsidRPr="00377FDC">
        <w:rPr>
          <w:rFonts w:ascii="Verdana" w:hAnsi="Verdana"/>
          <w:sz w:val="22"/>
          <w:szCs w:val="22"/>
        </w:rPr>
        <w:t xml:space="preserve"> Tenancy and Claim founded on nuisance – Kola Tenancy – Nature and legal character </w:t>
      </w:r>
    </w:p>
    <w:p w:rsidR="005D3132" w:rsidRPr="00377FDC" w:rsidRDefault="005D3132" w:rsidP="00377FDC">
      <w:pPr>
        <w:pStyle w:val="body2indt"/>
        <w:spacing w:before="240" w:beforeAutospacing="0" w:after="0" w:afterAutospacing="0" w:line="276" w:lineRule="auto"/>
        <w:jc w:val="both"/>
        <w:rPr>
          <w:rFonts w:ascii="Verdana" w:hAnsi="Verdana"/>
          <w:sz w:val="22"/>
          <w:szCs w:val="22"/>
        </w:rPr>
      </w:pPr>
      <w:r w:rsidRPr="00377FDC">
        <w:rPr>
          <w:rFonts w:ascii="Verdana" w:hAnsi="Verdana"/>
          <w:sz w:val="22"/>
          <w:szCs w:val="22"/>
        </w:rPr>
        <w:lastRenderedPageBreak/>
        <w:t>CHILDREN AND WOMEN LAW: Women/Widows and Real Estate/Land – Women and Justice Administration - Protection of access way to property – Claim of woman and her husband (who died during pendency of suit) for damages caused by attempt to obstruct access way to their property – How treated</w:t>
      </w:r>
    </w:p>
    <w:p w:rsidR="00377FDC" w:rsidRDefault="00377FDC" w:rsidP="00377FDC">
      <w:pPr>
        <w:pStyle w:val="NormalWeb"/>
        <w:spacing w:before="240" w:beforeAutospacing="0" w:after="0" w:afterAutospacing="0" w:line="276" w:lineRule="auto"/>
        <w:jc w:val="both"/>
        <w:rPr>
          <w:rFonts w:ascii="Verdana" w:hAnsi="Verdana"/>
          <w:b/>
        </w:rPr>
      </w:pPr>
    </w:p>
    <w:p w:rsidR="00377FDC" w:rsidRDefault="00377FDC" w:rsidP="00377FDC">
      <w:pPr>
        <w:pStyle w:val="NormalWeb"/>
        <w:spacing w:before="240" w:beforeAutospacing="0" w:after="0" w:afterAutospacing="0" w:line="276" w:lineRule="auto"/>
        <w:jc w:val="both"/>
        <w:rPr>
          <w:rFonts w:ascii="Verdana" w:hAnsi="Verdana"/>
          <w:b/>
        </w:rPr>
      </w:pPr>
    </w:p>
    <w:p w:rsidR="00E14129" w:rsidRDefault="00E14129" w:rsidP="00377FDC">
      <w:pPr>
        <w:pStyle w:val="NormalWeb"/>
        <w:spacing w:before="240" w:beforeAutospacing="0" w:after="0" w:afterAutospacing="0" w:line="276" w:lineRule="auto"/>
        <w:jc w:val="both"/>
        <w:rPr>
          <w:rFonts w:ascii="Verdana" w:hAnsi="Verdana"/>
          <w:b/>
          <w:sz w:val="22"/>
          <w:szCs w:val="22"/>
        </w:rPr>
      </w:pPr>
      <w:r>
        <w:rPr>
          <w:rFonts w:ascii="Verdana" w:hAnsi="Verdana"/>
          <w:b/>
        </w:rPr>
        <w:t>MAIN JUDGMENT</w:t>
      </w:r>
      <w:r w:rsidRPr="00F91660">
        <w:rPr>
          <w:rFonts w:ascii="Verdana" w:hAnsi="Verdana"/>
          <w:b/>
          <w:sz w:val="22"/>
          <w:szCs w:val="22"/>
        </w:rPr>
        <w:t xml:space="preserve"> </w:t>
      </w:r>
    </w:p>
    <w:p w:rsidR="00E14129" w:rsidRDefault="00377FDC" w:rsidP="00377FDC">
      <w:pPr>
        <w:pStyle w:val="body2indt"/>
        <w:spacing w:before="240" w:beforeAutospacing="0" w:after="0" w:afterAutospacing="0" w:line="276" w:lineRule="auto"/>
        <w:jc w:val="both"/>
        <w:rPr>
          <w:rFonts w:ascii="Verdana" w:hAnsi="Verdana"/>
          <w:sz w:val="22"/>
          <w:szCs w:val="22"/>
        </w:rPr>
      </w:pPr>
      <w:r w:rsidRPr="001F5549">
        <w:rPr>
          <w:rFonts w:ascii="Verdana" w:hAnsi="Verdana"/>
          <w:b/>
          <w:sz w:val="22"/>
          <w:szCs w:val="22"/>
        </w:rPr>
        <w:t>ELIAS, C.J.N.</w:t>
      </w:r>
      <w:r w:rsidRPr="00003B35">
        <w:rPr>
          <w:rFonts w:ascii="Verdana" w:hAnsi="Verdana"/>
          <w:sz w:val="22"/>
          <w:szCs w:val="22"/>
        </w:rPr>
        <w:t xml:space="preserve"> (DELIVER</w:t>
      </w:r>
      <w:r>
        <w:rPr>
          <w:rFonts w:ascii="Verdana" w:hAnsi="Verdana"/>
          <w:sz w:val="22"/>
          <w:szCs w:val="22"/>
        </w:rPr>
        <w:t xml:space="preserve">ING THE JUDGMENT OF THE COURT): </w:t>
      </w:r>
    </w:p>
    <w:p w:rsidR="001D25AE" w:rsidRDefault="001D25AE" w:rsidP="00377FDC">
      <w:pPr>
        <w:pStyle w:val="body2indt"/>
        <w:spacing w:before="240" w:beforeAutospacing="0" w:after="0" w:afterAutospacing="0" w:line="276" w:lineRule="auto"/>
        <w:jc w:val="both"/>
        <w:rPr>
          <w:rFonts w:ascii="Verdana" w:hAnsi="Verdana"/>
          <w:sz w:val="22"/>
          <w:szCs w:val="22"/>
        </w:rPr>
      </w:pPr>
      <w:r w:rsidRPr="00003B35">
        <w:rPr>
          <w:rFonts w:ascii="Verdana" w:hAnsi="Verdana"/>
          <w:sz w:val="22"/>
          <w:szCs w:val="22"/>
        </w:rPr>
        <w:t xml:space="preserve">This is an appeal from the judgment of H. U. </w:t>
      </w:r>
      <w:proofErr w:type="spellStart"/>
      <w:r w:rsidRPr="00003B35">
        <w:rPr>
          <w:rStyle w:val="spelle"/>
          <w:rFonts w:ascii="Verdana" w:hAnsi="Verdana"/>
          <w:sz w:val="22"/>
          <w:szCs w:val="22"/>
        </w:rPr>
        <w:t>Kaine</w:t>
      </w:r>
      <w:proofErr w:type="spellEnd"/>
      <w:r w:rsidRPr="00003B35">
        <w:rPr>
          <w:rFonts w:ascii="Verdana" w:hAnsi="Verdana"/>
          <w:sz w:val="22"/>
          <w:szCs w:val="22"/>
        </w:rPr>
        <w:t xml:space="preserve">, J., at the High Court, </w:t>
      </w:r>
      <w:r w:rsidRPr="00003B35">
        <w:rPr>
          <w:rStyle w:val="spelle"/>
          <w:rFonts w:ascii="Verdana" w:hAnsi="Verdana"/>
          <w:sz w:val="22"/>
          <w:szCs w:val="22"/>
        </w:rPr>
        <w:t>Onitsha</w:t>
      </w:r>
      <w:r w:rsidRPr="00003B35">
        <w:rPr>
          <w:rFonts w:ascii="Verdana" w:hAnsi="Verdana"/>
          <w:sz w:val="22"/>
          <w:szCs w:val="22"/>
        </w:rPr>
        <w:t>, delivered on May 11, 1964, in which the plaintiff’s claim was for the sum of £100 being damages caused by the defendant by obstructing the plaintiffs access way, an injunction to restrain the defendant, his servants and agents from building on the said access way and also an order of the Court for the defendant to remove the foundation of his proposed building from the access way.</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 xml:space="preserve">The learned trial Judge found that the action had been brought by the plaintiff and her husband, that the husband died while the action was pending, and that it was grounded </w:t>
      </w:r>
      <w:r w:rsidR="00E14129">
        <w:rPr>
          <w:rStyle w:val="grame"/>
          <w:rFonts w:ascii="Verdana" w:hAnsi="Verdana"/>
          <w:sz w:val="22"/>
          <w:szCs w:val="22"/>
        </w:rPr>
        <w:t>i</w:t>
      </w:r>
      <w:r w:rsidRPr="00003B35">
        <w:rPr>
          <w:rStyle w:val="grame"/>
          <w:rFonts w:ascii="Verdana" w:hAnsi="Verdana"/>
          <w:sz w:val="22"/>
          <w:szCs w:val="22"/>
        </w:rPr>
        <w:t>n</w:t>
      </w:r>
      <w:r w:rsidRPr="00003B35">
        <w:rPr>
          <w:rFonts w:ascii="Verdana" w:hAnsi="Verdana"/>
          <w:sz w:val="22"/>
          <w:szCs w:val="22"/>
        </w:rPr>
        <w:t xml:space="preserve"> nuisance. He also found that the plaintiff’s complaint was that the land over which they had had an access way for the past thirty-five years was bought and paid for outright from the </w:t>
      </w:r>
      <w:proofErr w:type="spellStart"/>
      <w:r w:rsidRPr="00003B35">
        <w:rPr>
          <w:rStyle w:val="spelle"/>
          <w:rFonts w:ascii="Verdana" w:hAnsi="Verdana"/>
          <w:sz w:val="22"/>
          <w:szCs w:val="22"/>
        </w:rPr>
        <w:t>Mgbelekeke</w:t>
      </w:r>
      <w:proofErr w:type="spellEnd"/>
      <w:r w:rsidRPr="00003B35">
        <w:rPr>
          <w:rFonts w:ascii="Verdana" w:hAnsi="Verdana"/>
          <w:sz w:val="22"/>
          <w:szCs w:val="22"/>
        </w:rPr>
        <w:t xml:space="preserve"> family and that it had just been occupied by the defendant who had thereby blocked the access way. The learned trial Judge found that the defendant’s contention was that there</w:t>
      </w:r>
      <w:r w:rsidR="00E14129">
        <w:rPr>
          <w:rFonts w:ascii="Verdana" w:hAnsi="Verdana"/>
          <w:sz w:val="22"/>
          <w:szCs w:val="22"/>
        </w:rPr>
        <w:t xml:space="preserve"> was no access way on the land i</w:t>
      </w:r>
      <w:r w:rsidRPr="00003B35">
        <w:rPr>
          <w:rFonts w:ascii="Verdana" w:hAnsi="Verdana"/>
          <w:sz w:val="22"/>
          <w:szCs w:val="22"/>
        </w:rPr>
        <w:t>n question, that the only access way that</w:t>
      </w:r>
      <w:r w:rsidR="002B7CE4">
        <w:rPr>
          <w:rFonts w:ascii="Verdana" w:hAnsi="Verdana"/>
          <w:sz w:val="22"/>
          <w:szCs w:val="22"/>
        </w:rPr>
        <w:t xml:space="preserve"> was </w:t>
      </w:r>
      <w:r w:rsidRPr="00003B35">
        <w:rPr>
          <w:rFonts w:ascii="Verdana" w:hAnsi="Verdana"/>
          <w:sz w:val="22"/>
          <w:szCs w:val="22"/>
        </w:rPr>
        <w:t xml:space="preserve">granted not to the plaintiff but to her husband by the </w:t>
      </w:r>
      <w:proofErr w:type="spellStart"/>
      <w:r w:rsidRPr="00003B35">
        <w:rPr>
          <w:rStyle w:val="spelle"/>
          <w:rFonts w:ascii="Verdana" w:hAnsi="Verdana"/>
          <w:sz w:val="22"/>
          <w:szCs w:val="22"/>
        </w:rPr>
        <w:t>Mgbelekeke</w:t>
      </w:r>
      <w:proofErr w:type="spellEnd"/>
      <w:r w:rsidRPr="00003B35">
        <w:rPr>
          <w:rFonts w:ascii="Verdana" w:hAnsi="Verdana"/>
          <w:sz w:val="22"/>
          <w:szCs w:val="22"/>
        </w:rPr>
        <w:t xml:space="preserve"> family under the </w:t>
      </w:r>
      <w:r w:rsidRPr="00003B35">
        <w:rPr>
          <w:rStyle w:val="spelle"/>
          <w:rFonts w:ascii="Verdana" w:hAnsi="Verdana"/>
          <w:sz w:val="22"/>
          <w:szCs w:val="22"/>
        </w:rPr>
        <w:t>Onitsha</w:t>
      </w:r>
      <w:r w:rsidRPr="00003B35">
        <w:rPr>
          <w:rFonts w:ascii="Verdana" w:hAnsi="Verdana"/>
          <w:sz w:val="22"/>
          <w:szCs w:val="22"/>
        </w:rPr>
        <w:t xml:space="preserve"> kola tenancy was on the eastern side of the property of the surviving plaintiff, who, as a mere licensee, could not maintain an action for an easement of way of necessity against the defendant who was a tenant. Wi</w:t>
      </w:r>
      <w:r w:rsidR="00E14129">
        <w:rPr>
          <w:rFonts w:ascii="Verdana" w:hAnsi="Verdana"/>
          <w:sz w:val="22"/>
          <w:szCs w:val="22"/>
        </w:rPr>
        <w:t>th regard to the nature of the i</w:t>
      </w:r>
      <w:r w:rsidRPr="00003B35">
        <w:rPr>
          <w:rFonts w:ascii="Verdana" w:hAnsi="Verdana"/>
          <w:sz w:val="22"/>
          <w:szCs w:val="22"/>
        </w:rPr>
        <w:t>n</w:t>
      </w:r>
      <w:r w:rsidR="00E14129">
        <w:rPr>
          <w:rFonts w:ascii="Verdana" w:hAnsi="Verdana"/>
          <w:sz w:val="22"/>
          <w:szCs w:val="22"/>
        </w:rPr>
        <w:t>terest which the plaintiff had i</w:t>
      </w:r>
      <w:r w:rsidRPr="00003B35">
        <w:rPr>
          <w:rFonts w:ascii="Verdana" w:hAnsi="Verdana"/>
          <w:sz w:val="22"/>
          <w:szCs w:val="22"/>
        </w:rPr>
        <w:t xml:space="preserve">n her property, No.25 </w:t>
      </w:r>
      <w:proofErr w:type="spellStart"/>
      <w:r w:rsidRPr="00003B35">
        <w:rPr>
          <w:rStyle w:val="spelle"/>
          <w:rFonts w:ascii="Verdana" w:hAnsi="Verdana"/>
          <w:sz w:val="22"/>
          <w:szCs w:val="22"/>
        </w:rPr>
        <w:t>Pampam</w:t>
      </w:r>
      <w:proofErr w:type="spellEnd"/>
      <w:r w:rsidRPr="00003B35">
        <w:rPr>
          <w:rFonts w:ascii="Verdana" w:hAnsi="Verdana"/>
          <w:sz w:val="22"/>
          <w:szCs w:val="22"/>
        </w:rPr>
        <w:t xml:space="preserve"> Lane, the learned trial Judge believed the plaintiff</w:t>
      </w:r>
      <w:r w:rsidR="00E14129">
        <w:rPr>
          <w:rFonts w:ascii="Verdana" w:hAnsi="Verdana"/>
          <w:sz w:val="22"/>
          <w:szCs w:val="22"/>
        </w:rPr>
        <w:t>s claim that it was she who paid</w:t>
      </w:r>
      <w:r w:rsidRPr="00003B35">
        <w:rPr>
          <w:rFonts w:ascii="Verdana" w:hAnsi="Verdana"/>
          <w:sz w:val="22"/>
          <w:szCs w:val="22"/>
        </w:rPr>
        <w:t xml:space="preserve"> for it, since she had been joined as original co-plaintiff before her husband’s death and the witness who made Exhibit B for her said in evidence that </w:t>
      </w:r>
      <w:r w:rsidRPr="00003B35">
        <w:rPr>
          <w:rFonts w:ascii="Verdana" w:hAnsi="Verdana"/>
          <w:sz w:val="22"/>
          <w:szCs w:val="22"/>
        </w:rPr>
        <w:lastRenderedPageBreak/>
        <w:t>he received his instructions from her and that it was she who told him to write down her husband’s name on the plan. The learned trial Judge said further.</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 xml:space="preserve">“I have to say that I believe that the plaintiff and her husband were kola tenants of the </w:t>
      </w:r>
      <w:proofErr w:type="spellStart"/>
      <w:r w:rsidRPr="00003B35">
        <w:rPr>
          <w:rStyle w:val="spelle"/>
          <w:rFonts w:ascii="Verdana" w:hAnsi="Verdana"/>
          <w:sz w:val="22"/>
          <w:szCs w:val="22"/>
        </w:rPr>
        <w:t>Mgbelekeke</w:t>
      </w:r>
      <w:proofErr w:type="spellEnd"/>
      <w:r w:rsidRPr="00003B35">
        <w:rPr>
          <w:rFonts w:ascii="Verdana" w:hAnsi="Verdana"/>
          <w:sz w:val="22"/>
          <w:szCs w:val="22"/>
        </w:rPr>
        <w:t xml:space="preserve"> family and as such they are owners in possession of the property which they can pass to their children and to their children’s children but that whenever they want to assign their Interest to a stranger, they have to pay kola to </w:t>
      </w:r>
      <w:proofErr w:type="spellStart"/>
      <w:r w:rsidRPr="00003B35">
        <w:rPr>
          <w:rStyle w:val="spelle"/>
          <w:rFonts w:ascii="Verdana" w:hAnsi="Verdana"/>
          <w:sz w:val="22"/>
          <w:szCs w:val="22"/>
        </w:rPr>
        <w:t>Mgbelekeke</w:t>
      </w:r>
      <w:proofErr w:type="spellEnd"/>
      <w:r w:rsidRPr="00003B35">
        <w:rPr>
          <w:rFonts w:ascii="Verdana" w:hAnsi="Verdana"/>
          <w:sz w:val="22"/>
          <w:szCs w:val="22"/>
        </w:rPr>
        <w:t xml:space="preserve"> family. I do not believe that they were tenants from year to year...</w:t>
      </w:r>
      <w:r w:rsidR="00377FDC">
        <w:rPr>
          <w:rFonts w:ascii="Verdana" w:hAnsi="Verdana"/>
          <w:sz w:val="22"/>
          <w:szCs w:val="22"/>
        </w:rPr>
        <w:t>”</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This brief description of the characteristics of a kola tenancy the learned counsel sought to attack as inadequate, but we consider that the learned trial Judge did not claim that it was an exhaustive definition, any more than one can claim the same for this definition in s.2 of The Kola Tenancies Law (Cap. 69 of the Laws of Eastern Nigeria, 1963):</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“Kola tenancy’ and ‘tenancy’ mean a right to the use and occupation of any land which is enjoyed by any person in virtue of a kola or other token payment made by such person or any predecessor in title or in virtue of a grant for which no payment In money and in kind was exacted.</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For an appreciation of the other elements of a kola tenancy one must look at the other provisions of this Law, for example sections 10 and 12 which deals with assessment of purchase price and of compensation as Involving the ‘Value of any rents or other advantages which the tenant may derive from the grants made by him or his predecessors in title of interests in the land to other persons”.</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 xml:space="preserve">The learned trial Judge was, therefore, right </w:t>
      </w:r>
      <w:r w:rsidR="00E14129">
        <w:rPr>
          <w:rStyle w:val="grame"/>
          <w:rFonts w:ascii="Verdana" w:hAnsi="Verdana"/>
          <w:sz w:val="22"/>
          <w:szCs w:val="22"/>
        </w:rPr>
        <w:t>i</w:t>
      </w:r>
      <w:r w:rsidRPr="00003B35">
        <w:rPr>
          <w:rStyle w:val="grame"/>
          <w:rFonts w:ascii="Verdana" w:hAnsi="Verdana"/>
          <w:sz w:val="22"/>
          <w:szCs w:val="22"/>
        </w:rPr>
        <w:t>n</w:t>
      </w:r>
      <w:r w:rsidRPr="00003B35">
        <w:rPr>
          <w:rFonts w:ascii="Verdana" w:hAnsi="Verdana"/>
          <w:sz w:val="22"/>
          <w:szCs w:val="22"/>
        </w:rPr>
        <w:t xml:space="preserve"> thus holding that the </w:t>
      </w:r>
      <w:r w:rsidR="002B7CE4">
        <w:rPr>
          <w:rFonts w:ascii="Verdana" w:hAnsi="Verdana"/>
          <w:sz w:val="22"/>
          <w:szCs w:val="22"/>
        </w:rPr>
        <w:t>plaintiff had sufficient i</w:t>
      </w:r>
      <w:r w:rsidRPr="00003B35">
        <w:rPr>
          <w:rFonts w:ascii="Verdana" w:hAnsi="Verdana"/>
          <w:sz w:val="22"/>
          <w:szCs w:val="22"/>
        </w:rPr>
        <w:t>nterest in the land to sue an action in nuisance:</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 xml:space="preserve">“In short I have to say that I agree with Mr. </w:t>
      </w:r>
      <w:proofErr w:type="spellStart"/>
      <w:r w:rsidRPr="00003B35">
        <w:rPr>
          <w:rStyle w:val="spelle"/>
          <w:rFonts w:ascii="Verdana" w:hAnsi="Verdana"/>
          <w:sz w:val="22"/>
          <w:szCs w:val="22"/>
        </w:rPr>
        <w:t>Egonu</w:t>
      </w:r>
      <w:proofErr w:type="spellEnd"/>
      <w:r w:rsidRPr="00003B35">
        <w:rPr>
          <w:rFonts w:ascii="Verdana" w:hAnsi="Verdana"/>
          <w:sz w:val="22"/>
          <w:szCs w:val="22"/>
        </w:rPr>
        <w:t xml:space="preserve"> that the plaintiff </w:t>
      </w:r>
      <w:r w:rsidR="00E14129">
        <w:rPr>
          <w:rFonts w:ascii="Verdana" w:hAnsi="Verdana"/>
          <w:sz w:val="22"/>
          <w:szCs w:val="22"/>
        </w:rPr>
        <w:t>can maintain this action which i</w:t>
      </w:r>
      <w:r w:rsidRPr="00003B35">
        <w:rPr>
          <w:rFonts w:ascii="Verdana" w:hAnsi="Verdana"/>
          <w:sz w:val="22"/>
          <w:szCs w:val="22"/>
        </w:rPr>
        <w:t>s grounded in nuisance against the defendant for obstructing her access way and I find as a fact that the building did block her access way and tha</w:t>
      </w:r>
      <w:r w:rsidR="00E14129">
        <w:rPr>
          <w:rFonts w:ascii="Verdana" w:hAnsi="Verdana"/>
          <w:sz w:val="22"/>
          <w:szCs w:val="22"/>
        </w:rPr>
        <w:t>t the passage she is now using i</w:t>
      </w:r>
      <w:r w:rsidRPr="00003B35">
        <w:rPr>
          <w:rFonts w:ascii="Verdana" w:hAnsi="Verdana"/>
          <w:sz w:val="22"/>
          <w:szCs w:val="22"/>
        </w:rPr>
        <w:t xml:space="preserve">s part of her </w:t>
      </w:r>
      <w:proofErr w:type="spellStart"/>
      <w:r w:rsidRPr="00003B35">
        <w:rPr>
          <w:rStyle w:val="spelle"/>
          <w:rFonts w:ascii="Verdana" w:hAnsi="Verdana"/>
          <w:sz w:val="22"/>
          <w:szCs w:val="22"/>
        </w:rPr>
        <w:t>neighbour’s</w:t>
      </w:r>
      <w:proofErr w:type="spellEnd"/>
      <w:r w:rsidRPr="00003B35">
        <w:rPr>
          <w:rFonts w:ascii="Verdana" w:hAnsi="Verdana"/>
          <w:sz w:val="22"/>
          <w:szCs w:val="22"/>
        </w:rPr>
        <w:t xml:space="preserve"> land.”</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 xml:space="preserve">The plaintiff’s further claim that the defendant’s building, </w:t>
      </w:r>
      <w:r w:rsidR="00E14129">
        <w:rPr>
          <w:rStyle w:val="grame"/>
          <w:rFonts w:ascii="Verdana" w:hAnsi="Verdana"/>
          <w:sz w:val="22"/>
          <w:szCs w:val="22"/>
        </w:rPr>
        <w:t>i</w:t>
      </w:r>
      <w:r w:rsidRPr="00003B35">
        <w:rPr>
          <w:rStyle w:val="grame"/>
          <w:rFonts w:ascii="Verdana" w:hAnsi="Verdana"/>
          <w:sz w:val="22"/>
          <w:szCs w:val="22"/>
        </w:rPr>
        <w:t>f</w:t>
      </w:r>
      <w:r w:rsidRPr="00003B35">
        <w:rPr>
          <w:rFonts w:ascii="Verdana" w:hAnsi="Verdana"/>
          <w:sz w:val="22"/>
          <w:szCs w:val="22"/>
        </w:rPr>
        <w:t xml:space="preserve"> completed, would obstruct h</w:t>
      </w:r>
      <w:r w:rsidR="00E14129">
        <w:rPr>
          <w:rFonts w:ascii="Verdana" w:hAnsi="Verdana"/>
          <w:sz w:val="22"/>
          <w:szCs w:val="22"/>
        </w:rPr>
        <w:t>er right to light and air was, i</w:t>
      </w:r>
      <w:r w:rsidRPr="00003B35">
        <w:rPr>
          <w:rFonts w:ascii="Verdana" w:hAnsi="Verdana"/>
          <w:sz w:val="22"/>
          <w:szCs w:val="22"/>
        </w:rPr>
        <w:t xml:space="preserve">n our view, rightly rejected by the learned trial Judge. The learned counsel for the defendant, Mr. </w:t>
      </w:r>
      <w:r w:rsidRPr="00003B35">
        <w:rPr>
          <w:rStyle w:val="spelle"/>
          <w:rFonts w:ascii="Verdana" w:hAnsi="Verdana"/>
          <w:sz w:val="22"/>
          <w:szCs w:val="22"/>
        </w:rPr>
        <w:t>Whyte</w:t>
      </w:r>
      <w:r w:rsidRPr="00003B35">
        <w:rPr>
          <w:rFonts w:ascii="Verdana" w:hAnsi="Verdana"/>
          <w:sz w:val="22"/>
          <w:szCs w:val="22"/>
        </w:rPr>
        <w:t>, had in the court below based his contention mainly on the ground of a claim to an easement of way of necessity, arguing at length the characteristics of an easement, and by whom and how it can be acquired. Indeed, his five ground of appeal were stated as follows:</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 xml:space="preserve">“1. </w:t>
      </w:r>
      <w:r>
        <w:rPr>
          <w:rFonts w:ascii="Verdana" w:hAnsi="Verdana"/>
          <w:sz w:val="22"/>
          <w:szCs w:val="22"/>
        </w:rPr>
        <w:tab/>
      </w:r>
      <w:r w:rsidRPr="00003B35">
        <w:rPr>
          <w:rFonts w:ascii="Verdana" w:hAnsi="Verdana"/>
          <w:sz w:val="22"/>
          <w:szCs w:val="22"/>
        </w:rPr>
        <w:t>Error in Law and Misdirection:</w:t>
      </w:r>
    </w:p>
    <w:p w:rsidR="001D25AE" w:rsidRPr="00003B35" w:rsidRDefault="001D25AE" w:rsidP="00377FDC">
      <w:pPr>
        <w:pStyle w:val="body2indt"/>
        <w:spacing w:before="240" w:beforeAutospacing="0" w:after="0" w:afterAutospacing="0" w:line="276" w:lineRule="auto"/>
        <w:ind w:left="1440"/>
        <w:jc w:val="both"/>
        <w:rPr>
          <w:sz w:val="22"/>
          <w:szCs w:val="22"/>
        </w:rPr>
      </w:pPr>
      <w:r w:rsidRPr="00003B35">
        <w:rPr>
          <w:rFonts w:ascii="Verdana" w:hAnsi="Verdana"/>
          <w:sz w:val="22"/>
          <w:szCs w:val="22"/>
        </w:rPr>
        <w:t>The learned Trial Judge erred in law and misdirected himself in law in holding that ‘the plaintiff can maintain this action which is grounded in nuisance against the defendant for obstructing her access way’ without considering whether the plaintiff has actually acquired an easement over the same ‘access way’.</w:t>
      </w:r>
    </w:p>
    <w:p w:rsidR="002B7CE4" w:rsidRDefault="001D25AE" w:rsidP="00377FDC">
      <w:pPr>
        <w:pStyle w:val="body2indt"/>
        <w:spacing w:before="240" w:beforeAutospacing="0" w:after="0" w:afterAutospacing="0" w:line="276" w:lineRule="auto"/>
        <w:ind w:left="1440" w:hanging="720"/>
        <w:jc w:val="both"/>
        <w:rPr>
          <w:rFonts w:ascii="Verdana" w:hAnsi="Verdana"/>
          <w:sz w:val="22"/>
          <w:szCs w:val="22"/>
        </w:rPr>
      </w:pPr>
      <w:r w:rsidRPr="00003B35">
        <w:rPr>
          <w:rFonts w:ascii="Verdana" w:hAnsi="Verdana"/>
          <w:sz w:val="22"/>
          <w:szCs w:val="22"/>
        </w:rPr>
        <w:t xml:space="preserve">2. </w:t>
      </w:r>
      <w:r>
        <w:rPr>
          <w:rFonts w:ascii="Verdana" w:hAnsi="Verdana"/>
          <w:sz w:val="22"/>
          <w:szCs w:val="22"/>
        </w:rPr>
        <w:tab/>
      </w:r>
      <w:r w:rsidRPr="00003B35">
        <w:rPr>
          <w:rFonts w:ascii="Verdana" w:hAnsi="Verdana"/>
          <w:sz w:val="22"/>
          <w:szCs w:val="22"/>
        </w:rPr>
        <w:t xml:space="preserve">Error in Law: </w:t>
      </w:r>
    </w:p>
    <w:p w:rsidR="001D25AE" w:rsidRPr="00003B35" w:rsidRDefault="001D25AE" w:rsidP="00377FDC">
      <w:pPr>
        <w:pStyle w:val="body2indt"/>
        <w:spacing w:before="240" w:beforeAutospacing="0" w:after="0" w:afterAutospacing="0" w:line="276" w:lineRule="auto"/>
        <w:ind w:left="1440"/>
        <w:jc w:val="both"/>
        <w:rPr>
          <w:sz w:val="22"/>
          <w:szCs w:val="22"/>
        </w:rPr>
      </w:pPr>
      <w:r w:rsidRPr="00003B35">
        <w:rPr>
          <w:rFonts w:ascii="Verdana" w:hAnsi="Verdana"/>
          <w:sz w:val="22"/>
          <w:szCs w:val="22"/>
        </w:rPr>
        <w:t xml:space="preserve">That the learned Trial Judge erred in law in not </w:t>
      </w:r>
      <w:r w:rsidR="002B7CE4">
        <w:rPr>
          <w:rFonts w:ascii="Verdana" w:hAnsi="Verdana"/>
          <w:sz w:val="22"/>
          <w:szCs w:val="22"/>
        </w:rPr>
        <w:t>considering that the defendant i</w:t>
      </w:r>
      <w:r w:rsidRPr="00003B35">
        <w:rPr>
          <w:rFonts w:ascii="Verdana" w:hAnsi="Verdana"/>
          <w:sz w:val="22"/>
          <w:szCs w:val="22"/>
        </w:rPr>
        <w:t xml:space="preserve">s not an owner in fee simple absolute in possession of the </w:t>
      </w:r>
      <w:proofErr w:type="spellStart"/>
      <w:r w:rsidRPr="00003B35">
        <w:rPr>
          <w:rStyle w:val="spelle"/>
          <w:rFonts w:ascii="Verdana" w:hAnsi="Verdana"/>
          <w:sz w:val="22"/>
          <w:szCs w:val="22"/>
        </w:rPr>
        <w:t>Servient</w:t>
      </w:r>
      <w:proofErr w:type="spellEnd"/>
      <w:r w:rsidRPr="00003B35">
        <w:rPr>
          <w:rFonts w:ascii="Verdana" w:hAnsi="Verdana"/>
          <w:sz w:val="22"/>
          <w:szCs w:val="22"/>
        </w:rPr>
        <w:t xml:space="preserve"> tenement but a yearly tenant and that therefore his tenement is not subject to the easement claimed.</w:t>
      </w:r>
    </w:p>
    <w:p w:rsidR="002B7CE4" w:rsidRDefault="001D25AE" w:rsidP="00377FDC">
      <w:pPr>
        <w:pStyle w:val="body2indt"/>
        <w:spacing w:before="240" w:beforeAutospacing="0" w:after="0" w:afterAutospacing="0" w:line="276" w:lineRule="auto"/>
        <w:ind w:left="1440" w:hanging="720"/>
        <w:jc w:val="both"/>
        <w:rPr>
          <w:rFonts w:ascii="Verdana" w:hAnsi="Verdana"/>
          <w:sz w:val="22"/>
          <w:szCs w:val="22"/>
        </w:rPr>
      </w:pPr>
      <w:r w:rsidRPr="00003B35">
        <w:rPr>
          <w:rFonts w:ascii="Verdana" w:hAnsi="Verdana"/>
          <w:sz w:val="22"/>
          <w:szCs w:val="22"/>
        </w:rPr>
        <w:t xml:space="preserve">3. </w:t>
      </w:r>
      <w:r>
        <w:rPr>
          <w:rFonts w:ascii="Verdana" w:hAnsi="Verdana"/>
          <w:sz w:val="22"/>
          <w:szCs w:val="22"/>
        </w:rPr>
        <w:tab/>
      </w:r>
      <w:r w:rsidRPr="00003B35">
        <w:rPr>
          <w:rFonts w:ascii="Verdana" w:hAnsi="Verdana"/>
          <w:sz w:val="22"/>
          <w:szCs w:val="22"/>
        </w:rPr>
        <w:t xml:space="preserve">Error in Law: </w:t>
      </w:r>
    </w:p>
    <w:p w:rsidR="001D25AE" w:rsidRPr="00003B35" w:rsidRDefault="001D25AE" w:rsidP="00377FDC">
      <w:pPr>
        <w:pStyle w:val="body2indt"/>
        <w:spacing w:before="240" w:beforeAutospacing="0" w:after="0" w:afterAutospacing="0" w:line="276" w:lineRule="auto"/>
        <w:ind w:left="1440"/>
        <w:jc w:val="both"/>
        <w:rPr>
          <w:sz w:val="22"/>
          <w:szCs w:val="22"/>
        </w:rPr>
      </w:pPr>
      <w:r w:rsidRPr="00003B35">
        <w:rPr>
          <w:rFonts w:ascii="Verdana" w:hAnsi="Verdana"/>
          <w:sz w:val="22"/>
          <w:szCs w:val="22"/>
        </w:rPr>
        <w:t>That the learned Trial Judge erred in law in not considering that the plaintiff is not an owner in fee simple</w:t>
      </w:r>
      <w:r w:rsidR="002B7CE4">
        <w:rPr>
          <w:rFonts w:ascii="Verdana" w:hAnsi="Verdana"/>
          <w:sz w:val="22"/>
          <w:szCs w:val="22"/>
        </w:rPr>
        <w:t xml:space="preserve"> absolute in possession of the d</w:t>
      </w:r>
      <w:r w:rsidRPr="00003B35">
        <w:rPr>
          <w:rFonts w:ascii="Verdana" w:hAnsi="Verdana"/>
          <w:sz w:val="22"/>
          <w:szCs w:val="22"/>
        </w:rPr>
        <w:t xml:space="preserve">ominant tenement, 25 Pam </w:t>
      </w:r>
      <w:proofErr w:type="spellStart"/>
      <w:r w:rsidRPr="00003B35">
        <w:rPr>
          <w:rStyle w:val="spelle"/>
          <w:rFonts w:ascii="Verdana" w:hAnsi="Verdana"/>
          <w:sz w:val="22"/>
          <w:szCs w:val="22"/>
        </w:rPr>
        <w:t>Pam</w:t>
      </w:r>
      <w:proofErr w:type="spellEnd"/>
      <w:r w:rsidRPr="00003B35">
        <w:rPr>
          <w:rFonts w:ascii="Verdana" w:hAnsi="Verdana"/>
          <w:sz w:val="22"/>
          <w:szCs w:val="22"/>
        </w:rPr>
        <w:t xml:space="preserve"> Lane, </w:t>
      </w:r>
      <w:r w:rsidRPr="00003B35">
        <w:rPr>
          <w:rStyle w:val="spelle"/>
          <w:rFonts w:ascii="Verdana" w:hAnsi="Verdana"/>
          <w:sz w:val="22"/>
          <w:szCs w:val="22"/>
        </w:rPr>
        <w:t>Onitsha</w:t>
      </w:r>
      <w:r w:rsidRPr="00003B35">
        <w:rPr>
          <w:rFonts w:ascii="Verdana" w:hAnsi="Verdana"/>
          <w:sz w:val="22"/>
          <w:szCs w:val="22"/>
        </w:rPr>
        <w:t>, so as to entitle her to the easement claimed.</w:t>
      </w:r>
    </w:p>
    <w:p w:rsidR="002B7CE4" w:rsidRDefault="001D25AE" w:rsidP="00377FDC">
      <w:pPr>
        <w:pStyle w:val="body2indt"/>
        <w:spacing w:before="240" w:beforeAutospacing="0" w:after="0" w:afterAutospacing="0" w:line="276" w:lineRule="auto"/>
        <w:ind w:left="1440" w:hanging="720"/>
        <w:jc w:val="both"/>
        <w:rPr>
          <w:rFonts w:ascii="Verdana" w:hAnsi="Verdana"/>
          <w:sz w:val="22"/>
          <w:szCs w:val="22"/>
        </w:rPr>
      </w:pPr>
      <w:r w:rsidRPr="00003B35">
        <w:rPr>
          <w:rFonts w:ascii="Verdana" w:hAnsi="Verdana"/>
          <w:sz w:val="22"/>
          <w:szCs w:val="22"/>
        </w:rPr>
        <w:t xml:space="preserve">4. </w:t>
      </w:r>
      <w:r>
        <w:rPr>
          <w:rFonts w:ascii="Verdana" w:hAnsi="Verdana"/>
          <w:sz w:val="22"/>
          <w:szCs w:val="22"/>
        </w:rPr>
        <w:tab/>
      </w:r>
      <w:r w:rsidRPr="00003B35">
        <w:rPr>
          <w:rFonts w:ascii="Verdana" w:hAnsi="Verdana"/>
          <w:sz w:val="22"/>
          <w:szCs w:val="22"/>
        </w:rPr>
        <w:t xml:space="preserve">Error in Law: </w:t>
      </w:r>
    </w:p>
    <w:p w:rsidR="001D25AE" w:rsidRPr="00003B35" w:rsidRDefault="001D25AE" w:rsidP="00377FDC">
      <w:pPr>
        <w:pStyle w:val="body2indt"/>
        <w:spacing w:before="240" w:beforeAutospacing="0" w:after="0" w:afterAutospacing="0" w:line="276" w:lineRule="auto"/>
        <w:ind w:left="1440"/>
        <w:jc w:val="both"/>
        <w:rPr>
          <w:sz w:val="22"/>
          <w:szCs w:val="22"/>
        </w:rPr>
      </w:pPr>
      <w:r w:rsidRPr="00003B35">
        <w:rPr>
          <w:rFonts w:ascii="Verdana" w:hAnsi="Verdana"/>
          <w:sz w:val="22"/>
          <w:szCs w:val="22"/>
        </w:rPr>
        <w:t xml:space="preserve">That the learned Trial Judge erred in law by admitting oral evidence to vary the content of a document Exhibit ‘B’, contrary to law whereby he held that the plaintiff is the owner of 25 </w:t>
      </w:r>
      <w:proofErr w:type="spellStart"/>
      <w:r w:rsidRPr="00003B35">
        <w:rPr>
          <w:rStyle w:val="spelle"/>
          <w:rFonts w:ascii="Verdana" w:hAnsi="Verdana"/>
          <w:sz w:val="22"/>
          <w:szCs w:val="22"/>
        </w:rPr>
        <w:t>Pampam</w:t>
      </w:r>
      <w:proofErr w:type="spellEnd"/>
      <w:r w:rsidRPr="00003B35">
        <w:rPr>
          <w:rFonts w:ascii="Verdana" w:hAnsi="Verdana"/>
          <w:sz w:val="22"/>
          <w:szCs w:val="22"/>
        </w:rPr>
        <w:t xml:space="preserve"> Lane, </w:t>
      </w:r>
      <w:r w:rsidRPr="00003B35">
        <w:rPr>
          <w:rStyle w:val="spelle"/>
          <w:rFonts w:ascii="Verdana" w:hAnsi="Verdana"/>
          <w:sz w:val="22"/>
          <w:szCs w:val="22"/>
        </w:rPr>
        <w:t>Onitsha</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lastRenderedPageBreak/>
        <w:t xml:space="preserve">5. </w:t>
      </w:r>
      <w:r>
        <w:rPr>
          <w:rFonts w:ascii="Verdana" w:hAnsi="Verdana"/>
          <w:sz w:val="22"/>
          <w:szCs w:val="22"/>
        </w:rPr>
        <w:tab/>
      </w:r>
      <w:r w:rsidRPr="00003B35">
        <w:rPr>
          <w:rFonts w:ascii="Verdana" w:hAnsi="Verdana"/>
          <w:sz w:val="22"/>
          <w:szCs w:val="22"/>
        </w:rPr>
        <w:t>The judgment is against weight of evidence.”</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The learned counsel later abandoned ground 5.</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The learned counsel for the plaintiff, while having been careful to insist throughout that his client’s case was founded in nuisance, quite unnecessarily pe</w:t>
      </w:r>
      <w:r w:rsidR="002B7CE4">
        <w:rPr>
          <w:rFonts w:ascii="Verdana" w:hAnsi="Verdana"/>
          <w:sz w:val="22"/>
          <w:szCs w:val="22"/>
        </w:rPr>
        <w:t>rmitted himself to be diverted i</w:t>
      </w:r>
      <w:r w:rsidRPr="00003B35">
        <w:rPr>
          <w:rFonts w:ascii="Verdana" w:hAnsi="Verdana"/>
          <w:sz w:val="22"/>
          <w:szCs w:val="22"/>
        </w:rPr>
        <w:t xml:space="preserve">nto an attempt to prove that the plaintiff could claim a right to an easement because “even a mere lessee can enjoy an easement granted to the dominant tenement” and he also contended that ‘the plaintiff had an easement of necessity on the land which the </w:t>
      </w:r>
      <w:proofErr w:type="spellStart"/>
      <w:r w:rsidRPr="00003B35">
        <w:rPr>
          <w:rStyle w:val="spelle"/>
          <w:rFonts w:ascii="Verdana" w:hAnsi="Verdana"/>
          <w:sz w:val="22"/>
          <w:szCs w:val="22"/>
        </w:rPr>
        <w:t>Mgbelekeke</w:t>
      </w:r>
      <w:proofErr w:type="spellEnd"/>
      <w:r w:rsidRPr="00003B35">
        <w:rPr>
          <w:rFonts w:ascii="Verdana" w:hAnsi="Verdana"/>
          <w:sz w:val="22"/>
          <w:szCs w:val="22"/>
        </w:rPr>
        <w:t xml:space="preserve"> p</w:t>
      </w:r>
      <w:r w:rsidR="00377FDC">
        <w:rPr>
          <w:rFonts w:ascii="Verdana" w:hAnsi="Verdana"/>
          <w:sz w:val="22"/>
          <w:szCs w:val="22"/>
        </w:rPr>
        <w:t>eople retained..</w:t>
      </w:r>
      <w:r w:rsidRPr="00003B35">
        <w:rPr>
          <w:rFonts w:ascii="Verdana" w:hAnsi="Verdana"/>
          <w:sz w:val="22"/>
          <w:szCs w:val="22"/>
        </w:rPr>
        <w:t>.”</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 xml:space="preserve">It is to be noted that, in arguing this appeal before us, Mr. </w:t>
      </w:r>
      <w:proofErr w:type="spellStart"/>
      <w:r w:rsidRPr="00003B35">
        <w:rPr>
          <w:rStyle w:val="spelle"/>
          <w:rFonts w:ascii="Verdana" w:hAnsi="Verdana"/>
          <w:sz w:val="22"/>
          <w:szCs w:val="22"/>
        </w:rPr>
        <w:t>Egonu</w:t>
      </w:r>
      <w:proofErr w:type="spellEnd"/>
      <w:r w:rsidRPr="00003B35">
        <w:rPr>
          <w:rFonts w:ascii="Verdana" w:hAnsi="Verdana"/>
          <w:sz w:val="22"/>
          <w:szCs w:val="22"/>
        </w:rPr>
        <w:t xml:space="preserve">, learned counsel for the respondent, wisely refrained from repeating this line of argument, despite Mr. </w:t>
      </w:r>
      <w:r w:rsidRPr="00003B35">
        <w:rPr>
          <w:rStyle w:val="spelle"/>
          <w:rFonts w:ascii="Verdana" w:hAnsi="Verdana"/>
          <w:sz w:val="22"/>
          <w:szCs w:val="22"/>
        </w:rPr>
        <w:t>Whyte</w:t>
      </w:r>
      <w:r w:rsidRPr="00003B35">
        <w:rPr>
          <w:rFonts w:ascii="Verdana" w:hAnsi="Verdana"/>
          <w:sz w:val="22"/>
          <w:szCs w:val="22"/>
        </w:rPr>
        <w:t xml:space="preserve">, the learned counsel for the appellant’s </w:t>
      </w:r>
      <w:r w:rsidRPr="00003B35">
        <w:rPr>
          <w:rStyle w:val="spelle"/>
          <w:rFonts w:ascii="Verdana" w:hAnsi="Verdana"/>
          <w:sz w:val="22"/>
          <w:szCs w:val="22"/>
        </w:rPr>
        <w:t>strenuous</w:t>
      </w:r>
      <w:r w:rsidRPr="00003B35">
        <w:rPr>
          <w:rFonts w:ascii="Verdana" w:hAnsi="Verdana"/>
          <w:sz w:val="22"/>
          <w:szCs w:val="22"/>
        </w:rPr>
        <w:t xml:space="preserve"> efforts to argue on the ground that the respondent had no right to an easement of way of necessity.</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Of direct relevance to the respondent’s case, however, is this careful statement of his findings by the learned trial Judge:</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 xml:space="preserve">“I have to say that I am satisfied from the evidence before me that the plaintiff has been in occupation of the land for about 35 years and has been using the land now in dispute as her access way of </w:t>
      </w:r>
      <w:proofErr w:type="spellStart"/>
      <w:r w:rsidRPr="00003B35">
        <w:rPr>
          <w:rStyle w:val="spelle"/>
          <w:rFonts w:ascii="Verdana" w:hAnsi="Verdana"/>
          <w:sz w:val="22"/>
          <w:szCs w:val="22"/>
        </w:rPr>
        <w:t>Pampam</w:t>
      </w:r>
      <w:proofErr w:type="spellEnd"/>
      <w:r w:rsidRPr="00003B35">
        <w:rPr>
          <w:rFonts w:ascii="Verdana" w:hAnsi="Verdana"/>
          <w:sz w:val="22"/>
          <w:szCs w:val="22"/>
        </w:rPr>
        <w:t xml:space="preserve"> Lane. The plan Exhibit ‘H’ which Mr. </w:t>
      </w:r>
      <w:proofErr w:type="spellStart"/>
      <w:r w:rsidRPr="00003B35">
        <w:rPr>
          <w:rStyle w:val="spelle"/>
          <w:rFonts w:ascii="Verdana" w:hAnsi="Verdana"/>
          <w:sz w:val="22"/>
          <w:szCs w:val="22"/>
        </w:rPr>
        <w:t>Ononye</w:t>
      </w:r>
      <w:proofErr w:type="spellEnd"/>
      <w:r w:rsidRPr="00003B35">
        <w:rPr>
          <w:rFonts w:ascii="Verdana" w:hAnsi="Verdana"/>
          <w:sz w:val="22"/>
          <w:szCs w:val="22"/>
        </w:rPr>
        <w:t xml:space="preserve"> said was approved by </w:t>
      </w:r>
      <w:proofErr w:type="spellStart"/>
      <w:r w:rsidRPr="00003B35">
        <w:rPr>
          <w:rStyle w:val="spelle"/>
          <w:rFonts w:ascii="Verdana" w:hAnsi="Verdana"/>
          <w:sz w:val="22"/>
          <w:szCs w:val="22"/>
        </w:rPr>
        <w:t>Mgbelekeke</w:t>
      </w:r>
      <w:proofErr w:type="spellEnd"/>
      <w:r w:rsidRPr="00003B35">
        <w:rPr>
          <w:rFonts w:ascii="Verdana" w:hAnsi="Verdana"/>
          <w:sz w:val="22"/>
          <w:szCs w:val="22"/>
        </w:rPr>
        <w:t xml:space="preserve"> family did not show any access way on the eastern side of the property. The only access way shown there for the property is on the western side that is on the land now in dispute.</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lastRenderedPageBreak/>
        <w:t xml:space="preserve">Also the building plan Exhibit ’B’ describes the land in dispute as a foot path and although it was the plaintiff’s building plan, it was tendered in evidence by the defendant and therefore It forms part of the defendant’s case so also is the plan Exhibit ‘H’ which was made as far back as 1939. </w:t>
      </w:r>
      <w:proofErr w:type="spellStart"/>
      <w:r w:rsidRPr="00003B35">
        <w:rPr>
          <w:rStyle w:val="spelle"/>
          <w:rFonts w:ascii="Verdana" w:hAnsi="Verdana"/>
          <w:sz w:val="22"/>
          <w:szCs w:val="22"/>
        </w:rPr>
        <w:t>Yesufu</w:t>
      </w:r>
      <w:proofErr w:type="spellEnd"/>
      <w:r w:rsidRPr="00003B35">
        <w:rPr>
          <w:rFonts w:ascii="Verdana" w:hAnsi="Verdana"/>
          <w:sz w:val="22"/>
          <w:szCs w:val="22"/>
        </w:rPr>
        <w:t xml:space="preserve"> in his evidence also said that the </w:t>
      </w:r>
      <w:proofErr w:type="gramStart"/>
      <w:r w:rsidRPr="00003B35">
        <w:rPr>
          <w:rStyle w:val="grame"/>
          <w:rFonts w:ascii="Verdana" w:hAnsi="Verdana"/>
          <w:sz w:val="22"/>
          <w:szCs w:val="22"/>
        </w:rPr>
        <w:t>plaintiffs</w:t>
      </w:r>
      <w:proofErr w:type="gramEnd"/>
      <w:r w:rsidRPr="00003B35">
        <w:rPr>
          <w:rFonts w:ascii="Verdana" w:hAnsi="Verdana"/>
          <w:sz w:val="22"/>
          <w:szCs w:val="22"/>
        </w:rPr>
        <w:t xml:space="preserve"> house was facing the west and they have their access way there.”</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 xml:space="preserve">We think that the respondent, even as an adjoining occupier, had suffered such special damage as to entitle her to sue the appellant for nuisance. As Lord </w:t>
      </w:r>
      <w:proofErr w:type="spellStart"/>
      <w:r w:rsidRPr="00003B35">
        <w:rPr>
          <w:rStyle w:val="spelle"/>
          <w:rFonts w:ascii="Verdana" w:hAnsi="Verdana"/>
          <w:sz w:val="22"/>
          <w:szCs w:val="22"/>
        </w:rPr>
        <w:t>Evershed</w:t>
      </w:r>
      <w:proofErr w:type="spellEnd"/>
      <w:r w:rsidRPr="00003B35">
        <w:rPr>
          <w:rFonts w:ascii="Verdana" w:hAnsi="Verdana"/>
          <w:sz w:val="22"/>
          <w:szCs w:val="22"/>
        </w:rPr>
        <w:t xml:space="preserve">, M. R. said in </w:t>
      </w:r>
      <w:proofErr w:type="spellStart"/>
      <w:r w:rsidRPr="00003B35">
        <w:rPr>
          <w:rStyle w:val="spelle"/>
          <w:rFonts w:ascii="Verdana" w:hAnsi="Verdana"/>
          <w:sz w:val="22"/>
          <w:szCs w:val="22"/>
        </w:rPr>
        <w:t>Trevett</w:t>
      </w:r>
      <w:proofErr w:type="spellEnd"/>
      <w:r w:rsidRPr="00003B35">
        <w:rPr>
          <w:rFonts w:ascii="Verdana" w:hAnsi="Verdana"/>
          <w:sz w:val="22"/>
          <w:szCs w:val="22"/>
        </w:rPr>
        <w:t xml:space="preserve"> v. Lee (1955) 1 W.LR. 113 at p.116:</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“Clay Lane was a highway, and it is axiomatic, as a general proposition, that a man who obstructs a highway commits, and is liable to be charged in respect of the commission of, a public nuisance. But tha</w:t>
      </w:r>
      <w:r w:rsidR="002B7CE4">
        <w:rPr>
          <w:rFonts w:ascii="Verdana" w:hAnsi="Verdana"/>
          <w:sz w:val="22"/>
          <w:szCs w:val="22"/>
        </w:rPr>
        <w:t>t short statement is i</w:t>
      </w:r>
      <w:r w:rsidRPr="00003B35">
        <w:rPr>
          <w:rFonts w:ascii="Verdana" w:hAnsi="Verdana"/>
          <w:sz w:val="22"/>
          <w:szCs w:val="22"/>
        </w:rPr>
        <w:t>n truth somewhat of an over-simplification, for there is no doubt that not every obstruction of a highway constitutes a public nuisance. It is also w</w:t>
      </w:r>
      <w:r w:rsidR="002B7CE4">
        <w:rPr>
          <w:rFonts w:ascii="Verdana" w:hAnsi="Verdana"/>
          <w:sz w:val="22"/>
          <w:szCs w:val="22"/>
        </w:rPr>
        <w:t>ell established that a private i</w:t>
      </w:r>
      <w:r w:rsidRPr="00003B35">
        <w:rPr>
          <w:rFonts w:ascii="Verdana" w:hAnsi="Verdana"/>
          <w:sz w:val="22"/>
          <w:szCs w:val="22"/>
        </w:rPr>
        <w:t xml:space="preserve">ndividual can only sue in respect of a public </w:t>
      </w:r>
      <w:r w:rsidR="00E14129">
        <w:rPr>
          <w:rFonts w:ascii="Verdana" w:hAnsi="Verdana"/>
          <w:sz w:val="22"/>
          <w:szCs w:val="22"/>
        </w:rPr>
        <w:t>nuisance i</w:t>
      </w:r>
      <w:r w:rsidRPr="00003B35">
        <w:rPr>
          <w:rFonts w:ascii="Verdana" w:hAnsi="Verdana"/>
          <w:sz w:val="22"/>
          <w:szCs w:val="22"/>
        </w:rPr>
        <w:t>f he or she suffers some</w:t>
      </w:r>
      <w:r w:rsidR="00E14129">
        <w:rPr>
          <w:rFonts w:ascii="Verdana" w:hAnsi="Verdana"/>
          <w:sz w:val="22"/>
          <w:szCs w:val="22"/>
        </w:rPr>
        <w:t xml:space="preserve"> special damage as a result of i</w:t>
      </w:r>
      <w:r w:rsidR="00377FDC">
        <w:rPr>
          <w:rFonts w:ascii="Verdana" w:hAnsi="Verdana"/>
          <w:sz w:val="22"/>
          <w:szCs w:val="22"/>
        </w:rPr>
        <w:t>t.</w:t>
      </w:r>
      <w:r w:rsidRPr="00003B35">
        <w:rPr>
          <w:rFonts w:ascii="Verdana" w:hAnsi="Verdana"/>
          <w:sz w:val="22"/>
          <w:szCs w:val="22"/>
        </w:rPr>
        <w:t>.:’</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 xml:space="preserve">The same point was upheld in the recent case of </w:t>
      </w:r>
      <w:proofErr w:type="spellStart"/>
      <w:r w:rsidRPr="00003B35">
        <w:rPr>
          <w:rStyle w:val="spelle"/>
          <w:rFonts w:ascii="Verdana" w:hAnsi="Verdana"/>
          <w:sz w:val="22"/>
          <w:szCs w:val="22"/>
        </w:rPr>
        <w:t>Dymond</w:t>
      </w:r>
      <w:proofErr w:type="spellEnd"/>
      <w:r w:rsidRPr="00003B35">
        <w:rPr>
          <w:rFonts w:ascii="Verdana" w:hAnsi="Verdana"/>
          <w:sz w:val="22"/>
          <w:szCs w:val="22"/>
        </w:rPr>
        <w:t xml:space="preserve"> v. Pearce AND OTHERS. </w:t>
      </w:r>
      <w:proofErr w:type="gramStart"/>
      <w:r w:rsidRPr="00003B35">
        <w:rPr>
          <w:rStyle w:val="grame"/>
          <w:rFonts w:ascii="Verdana" w:hAnsi="Verdana"/>
          <w:sz w:val="22"/>
          <w:szCs w:val="22"/>
        </w:rPr>
        <w:t>(1972) 2 W.L.R. 633 when at p. 637, Sachs, LJ.</w:t>
      </w:r>
      <w:proofErr w:type="gramEnd"/>
      <w:r w:rsidRPr="00003B35">
        <w:rPr>
          <w:rFonts w:ascii="Verdana" w:hAnsi="Verdana"/>
          <w:sz w:val="22"/>
          <w:szCs w:val="22"/>
        </w:rPr>
        <w:t xml:space="preserve"> </w:t>
      </w:r>
      <w:proofErr w:type="gramStart"/>
      <w:r w:rsidRPr="00003B35">
        <w:rPr>
          <w:rStyle w:val="grame"/>
          <w:rFonts w:ascii="Verdana" w:hAnsi="Verdana"/>
          <w:sz w:val="22"/>
          <w:szCs w:val="22"/>
        </w:rPr>
        <w:t>held</w:t>
      </w:r>
      <w:proofErr w:type="gramEnd"/>
      <w:r w:rsidRPr="00003B35">
        <w:rPr>
          <w:rFonts w:ascii="Verdana" w:hAnsi="Verdana"/>
          <w:sz w:val="22"/>
          <w:szCs w:val="22"/>
        </w:rPr>
        <w:t xml:space="preserve"> as follows:</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 xml:space="preserve">‘The relevant law is compactly stated in the judgment of Lord </w:t>
      </w:r>
      <w:proofErr w:type="spellStart"/>
      <w:r w:rsidRPr="00003B35">
        <w:rPr>
          <w:rStyle w:val="spelle"/>
          <w:rFonts w:ascii="Verdana" w:hAnsi="Verdana"/>
          <w:sz w:val="22"/>
          <w:szCs w:val="22"/>
        </w:rPr>
        <w:t>Evershed</w:t>
      </w:r>
      <w:proofErr w:type="spellEnd"/>
      <w:r w:rsidR="00E14129">
        <w:rPr>
          <w:rFonts w:ascii="Verdana" w:hAnsi="Verdana"/>
          <w:sz w:val="22"/>
          <w:szCs w:val="22"/>
        </w:rPr>
        <w:t>, M.R. i</w:t>
      </w:r>
      <w:r w:rsidRPr="00003B35">
        <w:rPr>
          <w:rFonts w:ascii="Verdana" w:hAnsi="Verdana"/>
          <w:sz w:val="22"/>
          <w:szCs w:val="22"/>
        </w:rPr>
        <w:t xml:space="preserve">n </w:t>
      </w:r>
      <w:proofErr w:type="spellStart"/>
      <w:r w:rsidRPr="00003B35">
        <w:rPr>
          <w:rStyle w:val="spelle"/>
          <w:rFonts w:ascii="Verdana" w:hAnsi="Verdana"/>
          <w:sz w:val="22"/>
          <w:szCs w:val="22"/>
        </w:rPr>
        <w:t>Trevett</w:t>
      </w:r>
      <w:proofErr w:type="spellEnd"/>
      <w:r w:rsidRPr="00003B35">
        <w:rPr>
          <w:rFonts w:ascii="Verdana" w:hAnsi="Verdana"/>
          <w:sz w:val="22"/>
          <w:szCs w:val="22"/>
        </w:rPr>
        <w:t xml:space="preserve"> v. Lee (1955) 1 W.L.R. 113,117 where he said:</w:t>
      </w:r>
    </w:p>
    <w:p w:rsidR="001D25AE" w:rsidRPr="00003B35" w:rsidRDefault="001D25AE" w:rsidP="00377FDC">
      <w:pPr>
        <w:pStyle w:val="body2indt"/>
        <w:spacing w:before="240" w:beforeAutospacing="0" w:after="0" w:afterAutospacing="0" w:line="276" w:lineRule="auto"/>
        <w:ind w:left="720"/>
        <w:jc w:val="both"/>
        <w:rPr>
          <w:sz w:val="22"/>
          <w:szCs w:val="22"/>
        </w:rPr>
      </w:pPr>
      <w:r w:rsidRPr="00003B35">
        <w:rPr>
          <w:rFonts w:ascii="Verdana" w:hAnsi="Verdana"/>
          <w:sz w:val="22"/>
          <w:szCs w:val="22"/>
        </w:rPr>
        <w:t xml:space="preserve">The law as regards obstructions to highways is conveniently stated in a passage in </w:t>
      </w:r>
      <w:proofErr w:type="spellStart"/>
      <w:r w:rsidRPr="00003B35">
        <w:rPr>
          <w:rStyle w:val="spelle"/>
          <w:rFonts w:ascii="Verdana" w:hAnsi="Verdana"/>
          <w:sz w:val="22"/>
          <w:szCs w:val="22"/>
        </w:rPr>
        <w:t>Salmond</w:t>
      </w:r>
      <w:proofErr w:type="spellEnd"/>
      <w:r w:rsidRPr="00003B35">
        <w:rPr>
          <w:rFonts w:ascii="Verdana" w:hAnsi="Verdana"/>
          <w:sz w:val="22"/>
          <w:szCs w:val="22"/>
        </w:rPr>
        <w:t xml:space="preserve"> on Torts, 11th </w:t>
      </w:r>
      <w:proofErr w:type="spellStart"/>
      <w:r w:rsidRPr="00003B35">
        <w:rPr>
          <w:rFonts w:ascii="Verdana" w:hAnsi="Verdana"/>
          <w:sz w:val="22"/>
          <w:szCs w:val="22"/>
        </w:rPr>
        <w:t>ad.</w:t>
      </w:r>
      <w:proofErr w:type="spellEnd"/>
      <w:r w:rsidRPr="00003B35">
        <w:rPr>
          <w:rFonts w:ascii="Verdana" w:hAnsi="Verdana"/>
          <w:sz w:val="22"/>
          <w:szCs w:val="22"/>
        </w:rPr>
        <w:t>, p.303: ‘A nuisanc</w:t>
      </w:r>
      <w:r w:rsidR="002B7CE4">
        <w:rPr>
          <w:rFonts w:ascii="Verdana" w:hAnsi="Verdana"/>
          <w:sz w:val="22"/>
          <w:szCs w:val="22"/>
        </w:rPr>
        <w:t>e to a highway consists either i</w:t>
      </w:r>
      <w:r w:rsidRPr="00003B35">
        <w:rPr>
          <w:rFonts w:ascii="Verdana" w:hAnsi="Verdana"/>
          <w:sz w:val="22"/>
          <w:szCs w:val="22"/>
        </w:rPr>
        <w:t>n obstructing it or in rendering it dangerous,’ and then a number of examples are given which seem to me to show that, prima facie, at any rate, when you speak of an obstruction to a highway, you mean something which permanently or temporarily removes the whole or part of the highway from the public use altogether’.”</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lastRenderedPageBreak/>
        <w:t>We would accordingly dismiss this appeal and we award costs to the respondent assessed at 84 guineas.</w:t>
      </w:r>
    </w:p>
    <w:p w:rsidR="00377FDC" w:rsidRDefault="00377FDC" w:rsidP="00377FDC">
      <w:pPr>
        <w:pStyle w:val="body2indt"/>
        <w:spacing w:before="240" w:beforeAutospacing="0" w:after="0" w:afterAutospacing="0" w:line="276" w:lineRule="auto"/>
        <w:jc w:val="both"/>
        <w:rPr>
          <w:rFonts w:ascii="Verdana" w:hAnsi="Verdana"/>
          <w:sz w:val="22"/>
          <w:szCs w:val="22"/>
        </w:rPr>
      </w:pPr>
    </w:p>
    <w:p w:rsidR="001D25AE" w:rsidRPr="00003B35" w:rsidRDefault="001D25AE" w:rsidP="00377FDC">
      <w:pPr>
        <w:pStyle w:val="body2indt"/>
        <w:spacing w:before="240" w:beforeAutospacing="0" w:after="0" w:afterAutospacing="0" w:line="276" w:lineRule="auto"/>
        <w:jc w:val="both"/>
        <w:rPr>
          <w:sz w:val="22"/>
          <w:szCs w:val="22"/>
        </w:rPr>
      </w:pPr>
      <w:r w:rsidRPr="00003B35">
        <w:rPr>
          <w:rFonts w:ascii="Verdana" w:hAnsi="Verdana"/>
          <w:sz w:val="22"/>
          <w:szCs w:val="22"/>
        </w:rPr>
        <w:t>Appeal dismissed.</w:t>
      </w:r>
    </w:p>
    <w:p w:rsidR="001D25AE" w:rsidRPr="00003B35" w:rsidRDefault="001D25AE" w:rsidP="00377FDC">
      <w:pPr>
        <w:spacing w:before="240" w:after="0"/>
        <w:jc w:val="both"/>
      </w:pPr>
    </w:p>
    <w:p w:rsidR="003E5FB6" w:rsidRDefault="003E5FB6" w:rsidP="00377FDC">
      <w:pPr>
        <w:spacing w:before="240" w:after="0"/>
        <w:jc w:val="both"/>
      </w:pPr>
    </w:p>
    <w:sectPr w:rsidR="003E5FB6" w:rsidSect="005D3132">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65E" w:rsidRDefault="00A3765E" w:rsidP="00AD146D">
      <w:pPr>
        <w:spacing w:after="0" w:line="240" w:lineRule="auto"/>
      </w:pPr>
      <w:r>
        <w:separator/>
      </w:r>
    </w:p>
  </w:endnote>
  <w:endnote w:type="continuationSeparator" w:id="0">
    <w:p w:rsidR="00A3765E" w:rsidRDefault="00A3765E" w:rsidP="00AD14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65E" w:rsidRDefault="00A3765E" w:rsidP="00AD146D">
      <w:pPr>
        <w:spacing w:after="0" w:line="240" w:lineRule="auto"/>
      </w:pPr>
      <w:r>
        <w:separator/>
      </w:r>
    </w:p>
  </w:footnote>
  <w:footnote w:type="continuationSeparator" w:id="0">
    <w:p w:rsidR="00A3765E" w:rsidRDefault="00A3765E" w:rsidP="00AD14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608" w:rsidRPr="00A96608" w:rsidRDefault="001D25AE" w:rsidP="00A96608">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D25AE"/>
    <w:rsid w:val="001D25AE"/>
    <w:rsid w:val="00246512"/>
    <w:rsid w:val="002B7CE4"/>
    <w:rsid w:val="00377FDC"/>
    <w:rsid w:val="003E5FB6"/>
    <w:rsid w:val="00525AE7"/>
    <w:rsid w:val="00532A59"/>
    <w:rsid w:val="00583A42"/>
    <w:rsid w:val="005D3132"/>
    <w:rsid w:val="00734BAA"/>
    <w:rsid w:val="00A3765E"/>
    <w:rsid w:val="00AD146D"/>
    <w:rsid w:val="00BB4D1C"/>
    <w:rsid w:val="00C34217"/>
    <w:rsid w:val="00C50097"/>
    <w:rsid w:val="00C741CA"/>
    <w:rsid w:val="00D02E37"/>
    <w:rsid w:val="00E14129"/>
    <w:rsid w:val="00E76575"/>
    <w:rsid w:val="00EC7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5A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1D25AE"/>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1D25AE"/>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1D25AE"/>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1D25AE"/>
  </w:style>
  <w:style w:type="character" w:customStyle="1" w:styleId="spelle">
    <w:name w:val="spelle"/>
    <w:rsid w:val="001D25AE"/>
  </w:style>
  <w:style w:type="paragraph" w:styleId="Header">
    <w:name w:val="header"/>
    <w:basedOn w:val="Normal"/>
    <w:link w:val="HeaderChar"/>
    <w:uiPriority w:val="99"/>
    <w:semiHidden/>
    <w:unhideWhenUsed/>
    <w:rsid w:val="001D25AE"/>
    <w:pPr>
      <w:tabs>
        <w:tab w:val="center" w:pos="4680"/>
        <w:tab w:val="right" w:pos="9360"/>
      </w:tabs>
    </w:pPr>
  </w:style>
  <w:style w:type="character" w:customStyle="1" w:styleId="HeaderChar">
    <w:name w:val="Header Char"/>
    <w:basedOn w:val="DefaultParagraphFont"/>
    <w:link w:val="Header"/>
    <w:uiPriority w:val="99"/>
    <w:semiHidden/>
    <w:rsid w:val="001D25AE"/>
    <w:rPr>
      <w:rFonts w:ascii="Calibri" w:eastAsia="Calibri" w:hAnsi="Calibri" w:cs="Times New Roman"/>
    </w:rPr>
  </w:style>
  <w:style w:type="paragraph" w:styleId="BalloonText">
    <w:name w:val="Balloon Text"/>
    <w:basedOn w:val="Normal"/>
    <w:link w:val="BalloonTextChar"/>
    <w:uiPriority w:val="99"/>
    <w:semiHidden/>
    <w:unhideWhenUsed/>
    <w:rsid w:val="001D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AE"/>
    <w:rPr>
      <w:rFonts w:ascii="Tahoma" w:eastAsia="Calibri" w:hAnsi="Tahoma" w:cs="Tahoma"/>
      <w:sz w:val="16"/>
      <w:szCs w:val="16"/>
    </w:rPr>
  </w:style>
  <w:style w:type="paragraph" w:styleId="Footer">
    <w:name w:val="footer"/>
    <w:basedOn w:val="Normal"/>
    <w:link w:val="FooterChar"/>
    <w:uiPriority w:val="99"/>
    <w:semiHidden/>
    <w:unhideWhenUsed/>
    <w:rsid w:val="00E141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4129"/>
    <w:rPr>
      <w:rFonts w:ascii="Calibri" w:eastAsia="Calibri" w:hAnsi="Calibri" w:cs="Times New Roman"/>
    </w:rPr>
  </w:style>
  <w:style w:type="paragraph" w:styleId="NormalWeb">
    <w:name w:val="Normal (Web)"/>
    <w:basedOn w:val="Normal"/>
    <w:uiPriority w:val="99"/>
    <w:semiHidden/>
    <w:unhideWhenUsed/>
    <w:rsid w:val="00E14129"/>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C50097"/>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2021-12-13T14:27:00Z</dcterms:created>
  <dcterms:modified xsi:type="dcterms:W3CDTF">2021-12-13T14:27:00Z</dcterms:modified>
</cp:coreProperties>
</file>