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C8605" w14:textId="15957752" w:rsidR="00B46789" w:rsidRPr="00B46789" w:rsidRDefault="00B46789" w:rsidP="00B46789">
      <w:r>
        <w:rPr>
          <w:b/>
          <w:bCs/>
        </w:rPr>
        <w:t xml:space="preserve">Chapter </w:t>
      </w:r>
      <w:r w:rsidRPr="00B46789">
        <w:rPr>
          <w:b/>
          <w:bCs/>
        </w:rPr>
        <w:t>4</w:t>
      </w:r>
    </w:p>
    <w:p w14:paraId="416E2CFB" w14:textId="77777777" w:rsidR="00B46789" w:rsidRPr="00B46789" w:rsidRDefault="00B46789" w:rsidP="00B46789">
      <w:r w:rsidRPr="00B46789">
        <w:t>This chapter presents the results of the analysis of the nutritional status and dietary patterns of adolescent girls in rural and urban areas. The findings are organized into four main sections based on the specific objectives: sociodemographic status, prevalence of malnutrition, dietary intake, and factors affecting dietary habits.</w:t>
      </w:r>
    </w:p>
    <w:p w14:paraId="04BE96B5" w14:textId="6CFD4958" w:rsidR="00B46789" w:rsidRPr="00B46789" w:rsidRDefault="00B46789" w:rsidP="00B46789">
      <w:r w:rsidRPr="00B46789">
        <w:rPr>
          <w:b/>
          <w:bCs/>
        </w:rPr>
        <w:t>4.</w:t>
      </w:r>
      <w:r w:rsidR="0014390A">
        <w:rPr>
          <w:b/>
          <w:bCs/>
        </w:rPr>
        <w:t>1</w:t>
      </w:r>
      <w:r w:rsidRPr="00B46789">
        <w:rPr>
          <w:b/>
          <w:bCs/>
        </w:rPr>
        <w:t xml:space="preserve"> Specific Objective 1: Sociodemographic Status</w:t>
      </w:r>
    </w:p>
    <w:p w14:paraId="1EA859B3" w14:textId="77777777" w:rsidR="00B46789" w:rsidRPr="00B46789" w:rsidRDefault="00B46789" w:rsidP="00B46789">
      <w:r w:rsidRPr="00B46789">
        <w:t>The sociodemographic characteristics of the respondents are presented in the following figures.</w:t>
      </w:r>
    </w:p>
    <w:p w14:paraId="3B85E77E" w14:textId="51C2C9E7" w:rsidR="00B46789" w:rsidRPr="00B46789" w:rsidRDefault="00B46789" w:rsidP="00B46789">
      <w:r>
        <w:rPr>
          <w:noProof/>
        </w:rPr>
        <w:drawing>
          <wp:inline distT="0" distB="0" distL="0" distR="0" wp14:anchorId="38C892DD" wp14:editId="4776B9E2">
            <wp:extent cx="5943600" cy="2942590"/>
            <wp:effectExtent l="0" t="0" r="0" b="0"/>
            <wp:docPr id="1762622965" name="Picture 2"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22965" name="Picture 2" descr="A graph of a bar graph&#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42590"/>
                    </a:xfrm>
                    <a:prstGeom prst="rect">
                      <a:avLst/>
                    </a:prstGeom>
                    <a:noFill/>
                    <a:ln>
                      <a:noFill/>
                    </a:ln>
                  </pic:spPr>
                </pic:pic>
              </a:graphicData>
            </a:graphic>
          </wp:inline>
        </w:drawing>
      </w:r>
    </w:p>
    <w:p w14:paraId="1B3D50AB" w14:textId="1FEDF561" w:rsidR="00B46789" w:rsidRPr="00B46789" w:rsidRDefault="00B46789" w:rsidP="00B46789">
      <w:r w:rsidRPr="00B46789">
        <w:rPr>
          <w:b/>
          <w:bCs/>
        </w:rPr>
        <w:t>Figure 1: Age Distribution of Respondents</w:t>
      </w:r>
    </w:p>
    <w:p w14:paraId="1A4C6D91" w14:textId="0C184B39" w:rsidR="00B46789" w:rsidRPr="00B46789" w:rsidRDefault="00B46789" w:rsidP="00B46789">
      <w:r w:rsidRPr="00B46789">
        <w:t xml:space="preserve">The age distribution shows that </w:t>
      </w:r>
      <w:r w:rsidRPr="00B46789">
        <w:t>most of</w:t>
      </w:r>
      <w:r w:rsidRPr="00B46789">
        <w:t xml:space="preserve"> the respondents were in the 17-19 years age group (53.1%), followed by 14-16 years (36.2%). A similar trend was observed in both urban (55.1%) and rural (50.6%) areas.</w:t>
      </w:r>
    </w:p>
    <w:p w14:paraId="0114050F" w14:textId="6AAA771E" w:rsidR="00B46789" w:rsidRPr="00B46789" w:rsidRDefault="00B46789" w:rsidP="00B46789">
      <w:pPr>
        <w:rPr>
          <w:noProof/>
        </w:rPr>
      </w:pPr>
      <w:r w:rsidRPr="00B46789">
        <w:rPr>
          <w:noProof/>
        </w:rPr>
        <w:lastRenderedPageBreak/>
        <w:drawing>
          <wp:inline distT="0" distB="0" distL="0" distR="0" wp14:anchorId="7DCA970B" wp14:editId="4C100E45">
            <wp:extent cx="5943600" cy="3535680"/>
            <wp:effectExtent l="0" t="0" r="0" b="7620"/>
            <wp:docPr id="2130014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35680"/>
                    </a:xfrm>
                    <a:prstGeom prst="rect">
                      <a:avLst/>
                    </a:prstGeom>
                    <a:noFill/>
                    <a:ln>
                      <a:noFill/>
                    </a:ln>
                  </pic:spPr>
                </pic:pic>
              </a:graphicData>
            </a:graphic>
          </wp:inline>
        </w:drawing>
      </w:r>
    </w:p>
    <w:p w14:paraId="013B6090" w14:textId="11CF663E" w:rsidR="00B46789" w:rsidRPr="00B46789" w:rsidRDefault="00B46789" w:rsidP="00B46789">
      <w:r w:rsidRPr="00B46789">
        <w:rPr>
          <w:b/>
          <w:bCs/>
        </w:rPr>
        <w:t>Figure 2: Religious Distribution</w:t>
      </w:r>
    </w:p>
    <w:p w14:paraId="5DF41D4C" w14:textId="6A6A5318" w:rsidR="00B46789" w:rsidRPr="00B46789" w:rsidRDefault="00B46789" w:rsidP="00B46789">
      <w:r w:rsidRPr="00B46789">
        <w:t>Most of</w:t>
      </w:r>
      <w:r w:rsidRPr="00B46789">
        <w:t xml:space="preserve"> the respondents were Christians (98.4%), with very few practicing Traditional religion (1.1%) or Islam (0.5%). This distribution was consistent across both urban and rural settings.</w:t>
      </w:r>
    </w:p>
    <w:p w14:paraId="7914D429" w14:textId="77777777" w:rsidR="00B46789" w:rsidRPr="00B46789" w:rsidRDefault="00B46789" w:rsidP="00B46789"/>
    <w:p w14:paraId="6281C285" w14:textId="1DE29F2A" w:rsidR="00B46789" w:rsidRPr="00B46789" w:rsidRDefault="00B46789" w:rsidP="00B46789">
      <w:r>
        <w:rPr>
          <w:noProof/>
        </w:rPr>
        <w:drawing>
          <wp:inline distT="0" distB="0" distL="0" distR="0" wp14:anchorId="7D03F8A0" wp14:editId="2711D641">
            <wp:extent cx="5943600" cy="2938780"/>
            <wp:effectExtent l="0" t="0" r="0" b="0"/>
            <wp:docPr id="906801333" name="Picture 3" descr="A graph of a family monthly income by resid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01333" name="Picture 3" descr="A graph of a family monthly income by residenc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38780"/>
                    </a:xfrm>
                    <a:prstGeom prst="rect">
                      <a:avLst/>
                    </a:prstGeom>
                    <a:noFill/>
                    <a:ln>
                      <a:noFill/>
                    </a:ln>
                  </pic:spPr>
                </pic:pic>
              </a:graphicData>
            </a:graphic>
          </wp:inline>
        </w:drawing>
      </w:r>
      <w:r w:rsidRPr="00B46789">
        <w:rPr>
          <w:b/>
          <w:bCs/>
        </w:rPr>
        <w:t>Figure 3: Family Monthly Income</w:t>
      </w:r>
    </w:p>
    <w:p w14:paraId="38254EEB" w14:textId="5E46DDAD" w:rsidR="00B46789" w:rsidRPr="00B46789" w:rsidRDefault="00B46789" w:rsidP="00B46789">
      <w:r w:rsidRPr="00B46789">
        <w:lastRenderedPageBreak/>
        <w:t xml:space="preserve">There was a notable difference in </w:t>
      </w:r>
      <w:r w:rsidRPr="00B46789">
        <w:t>the monthly family</w:t>
      </w:r>
      <w:r w:rsidRPr="00B46789">
        <w:t xml:space="preserve"> income. Overall, 62.4% of families earned above 100,000 Naira. However, this was higher in urban areas (70.5%) compared to rural areas (51.9%), indicating a higher economic status among urban families.</w:t>
      </w:r>
    </w:p>
    <w:p w14:paraId="6C0BE12A" w14:textId="1A1F5009" w:rsidR="00B46789" w:rsidRPr="00B46789" w:rsidRDefault="00B46789" w:rsidP="00B46789">
      <w:r>
        <w:rPr>
          <w:noProof/>
        </w:rPr>
        <w:drawing>
          <wp:inline distT="0" distB="0" distL="0" distR="0" wp14:anchorId="70D9C2FE" wp14:editId="5B962C53">
            <wp:extent cx="5943600" cy="2516505"/>
            <wp:effectExtent l="0" t="0" r="0" b="0"/>
            <wp:docPr id="1480063146" name="Picture 4"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63146" name="Picture 4" descr="A graph of a bar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16505"/>
                    </a:xfrm>
                    <a:prstGeom prst="rect">
                      <a:avLst/>
                    </a:prstGeom>
                    <a:noFill/>
                    <a:ln>
                      <a:noFill/>
                    </a:ln>
                  </pic:spPr>
                </pic:pic>
              </a:graphicData>
            </a:graphic>
          </wp:inline>
        </w:drawing>
      </w:r>
      <w:r w:rsidRPr="00B46789">
        <w:rPr>
          <w:b/>
          <w:bCs/>
        </w:rPr>
        <w:t>Figure 4: Guardian Education Level</w:t>
      </w:r>
    </w:p>
    <w:p w14:paraId="4377B972" w14:textId="2FA16906" w:rsidR="00B46789" w:rsidRPr="00B46789" w:rsidRDefault="00B46789" w:rsidP="00B46789">
      <w:r w:rsidRPr="00B46789">
        <w:t>Regarding guardian education, 56.7% of guardians had tertiary education. This was more prevalent in urban areas (62.8%) compared to rural areas (48.8%), suggesting higher educational attainment among urban guardians.</w:t>
      </w:r>
    </w:p>
    <w:p w14:paraId="63121E7B" w14:textId="5BA316F6" w:rsidR="00B46789" w:rsidRPr="00B46789" w:rsidRDefault="00B46789" w:rsidP="00B46789">
      <w:r w:rsidRPr="00B46789">
        <w:rPr>
          <w:b/>
          <w:bCs/>
        </w:rPr>
        <w:t>4.</w:t>
      </w:r>
      <w:r w:rsidR="0014390A">
        <w:rPr>
          <w:b/>
          <w:bCs/>
        </w:rPr>
        <w:t>2</w:t>
      </w:r>
      <w:r w:rsidRPr="00B46789">
        <w:rPr>
          <w:b/>
          <w:bCs/>
        </w:rPr>
        <w:t xml:space="preserve"> Specific Objective 2: Prevalence of Malnutrition</w:t>
      </w:r>
    </w:p>
    <w:p w14:paraId="2A282754" w14:textId="5DD251C3" w:rsidR="00B46789" w:rsidRPr="00B46789" w:rsidRDefault="00B46789" w:rsidP="00B46789">
      <w:r w:rsidRPr="00B46789">
        <w:t xml:space="preserve">The anthropometric status of </w:t>
      </w:r>
      <w:r w:rsidRPr="00B46789">
        <w:t>adolescents</w:t>
      </w:r>
      <w:r w:rsidRPr="00B46789">
        <w:t xml:space="preserve"> was assessed to determine the prevalence of malnutrition.</w:t>
      </w:r>
    </w:p>
    <w:p w14:paraId="10F9475B" w14:textId="312A031B" w:rsidR="00B46789" w:rsidRPr="00B46789" w:rsidRDefault="00B46789" w:rsidP="00B46789">
      <w:r>
        <w:rPr>
          <w:noProof/>
        </w:rPr>
        <w:drawing>
          <wp:inline distT="0" distB="0" distL="0" distR="0" wp14:anchorId="19A79B60" wp14:editId="33C5F335">
            <wp:extent cx="5943600" cy="2301875"/>
            <wp:effectExtent l="0" t="0" r="0" b="3175"/>
            <wp:docPr id="1685650974"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50974" name="Picture 3" descr="A graph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301875"/>
                    </a:xfrm>
                    <a:prstGeom prst="rect">
                      <a:avLst/>
                    </a:prstGeom>
                    <a:noFill/>
                    <a:ln>
                      <a:noFill/>
                    </a:ln>
                  </pic:spPr>
                </pic:pic>
              </a:graphicData>
            </a:graphic>
          </wp:inline>
        </w:drawing>
      </w:r>
      <w:r w:rsidRPr="00B46789">
        <w:rPr>
          <w:b/>
          <w:bCs/>
        </w:rPr>
        <w:t>Figure 5: BMI Distribution</w:t>
      </w:r>
    </w:p>
    <w:p w14:paraId="46332162" w14:textId="77777777" w:rsidR="00B46789" w:rsidRPr="00B46789" w:rsidRDefault="00B46789" w:rsidP="00B46789">
      <w:r w:rsidRPr="00B46789">
        <w:lastRenderedPageBreak/>
        <w:t>The distribution of Body Mass Index (BMI) shows the spread of nutritional status among the girls. The mean BMI for the urban population was significantly higher (22.30 kg/m²) compared to the rural population (21.16 kg/m²).</w:t>
      </w:r>
    </w:p>
    <w:p w14:paraId="30B24ADF" w14:textId="2EC6AE46" w:rsidR="00B46789" w:rsidRPr="00B46789" w:rsidRDefault="000331E1" w:rsidP="00B46789">
      <w:r>
        <w:rPr>
          <w:noProof/>
        </w:rPr>
        <w:drawing>
          <wp:inline distT="0" distB="0" distL="0" distR="0" wp14:anchorId="02BA2294" wp14:editId="1A83CCD5">
            <wp:extent cx="5943600" cy="2942590"/>
            <wp:effectExtent l="0" t="0" r="0" b="0"/>
            <wp:docPr id="1548767464" name="Picture 4" descr="A graph with blue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67464" name="Picture 4" descr="A graph with blue and red squar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42590"/>
                    </a:xfrm>
                    <a:prstGeom prst="rect">
                      <a:avLst/>
                    </a:prstGeom>
                    <a:noFill/>
                    <a:ln>
                      <a:noFill/>
                    </a:ln>
                  </pic:spPr>
                </pic:pic>
              </a:graphicData>
            </a:graphic>
          </wp:inline>
        </w:drawing>
      </w:r>
      <w:r w:rsidR="00B46789" w:rsidRPr="00B46789">
        <w:rPr>
          <w:b/>
          <w:bCs/>
        </w:rPr>
        <w:t>Figure 6: BMI Categories</w:t>
      </w:r>
    </w:p>
    <w:p w14:paraId="42EF1FCF" w14:textId="77777777" w:rsidR="00B46789" w:rsidRPr="00B46789" w:rsidRDefault="00B46789" w:rsidP="00B46789">
      <w:r w:rsidRPr="00B46789">
        <w:t>The classification of BMI into categories reveals the prevalence of underweight, normal weight, overweight, and obesity. The chart indicates a higher tendency towards overweight and obesity in the urban area, while the rural area has a higher proportion of normal weight and underweight individuals.</w:t>
      </w:r>
    </w:p>
    <w:p w14:paraId="6AA41706" w14:textId="77777777" w:rsidR="00B46789" w:rsidRPr="00B46789" w:rsidRDefault="00B46789" w:rsidP="00B46789"/>
    <w:p w14:paraId="02DBDACD" w14:textId="178878FB" w:rsidR="00B46789" w:rsidRPr="00B46789" w:rsidRDefault="000331E1" w:rsidP="00B46789">
      <w:r>
        <w:rPr>
          <w:noProof/>
        </w:rPr>
        <w:drawing>
          <wp:inline distT="0" distB="0" distL="0" distR="0" wp14:anchorId="4F1B69E9" wp14:editId="4808F3F5">
            <wp:extent cx="5943600" cy="2044700"/>
            <wp:effectExtent l="0" t="0" r="0" b="0"/>
            <wp:docPr id="855848911" name="Picture 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48911" name="Picture 5" descr="A graph of a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r w:rsidR="00B46789" w:rsidRPr="00B46789">
        <w:rPr>
          <w:b/>
          <w:bCs/>
        </w:rPr>
        <w:t>Figure 7: Anthropometric Measurements (Boxplots)</w:t>
      </w:r>
    </w:p>
    <w:p w14:paraId="33914921" w14:textId="09E4F541" w:rsidR="000331E1" w:rsidRDefault="00B46789" w:rsidP="00B46789">
      <w:r w:rsidRPr="00B46789">
        <w:lastRenderedPageBreak/>
        <w:t>The boxplots provide a comparative view of weight, height, and BMI. While height was similar between the two groups (Urban: 1.58m, Rural: 1.59m), weight and BMI showed greater variation, with urban girls generally having higher values.</w:t>
      </w:r>
    </w:p>
    <w:p w14:paraId="3A627C05" w14:textId="21116A02" w:rsidR="00B46789" w:rsidRPr="00B46789" w:rsidRDefault="00B46789" w:rsidP="00B46789">
      <w:r w:rsidRPr="00B46789">
        <w:rPr>
          <w:b/>
          <w:bCs/>
        </w:rPr>
        <w:t>4.</w:t>
      </w:r>
      <w:r w:rsidR="0014390A">
        <w:rPr>
          <w:b/>
          <w:bCs/>
        </w:rPr>
        <w:t>3</w:t>
      </w:r>
      <w:r w:rsidRPr="00B46789">
        <w:rPr>
          <w:b/>
          <w:bCs/>
        </w:rPr>
        <w:t xml:space="preserve"> Specific Objective 3: Dietary Intake</w:t>
      </w:r>
    </w:p>
    <w:p w14:paraId="0358BEF8" w14:textId="20CD954A" w:rsidR="00B46789" w:rsidRPr="00B46789" w:rsidRDefault="00B46789" w:rsidP="00B46789">
      <w:r w:rsidRPr="00B46789">
        <w:t>Dietary intake was assessed using dietary diversity scores and food group consumption patterns.</w:t>
      </w:r>
    </w:p>
    <w:p w14:paraId="7533351B" w14:textId="77777777" w:rsidR="000331E1" w:rsidRDefault="000331E1" w:rsidP="000331E1">
      <w:r>
        <w:rPr>
          <w:noProof/>
        </w:rPr>
        <w:drawing>
          <wp:inline distT="0" distB="0" distL="0" distR="0" wp14:anchorId="06C2E1FA" wp14:editId="25F5213D">
            <wp:extent cx="5943600" cy="3374390"/>
            <wp:effectExtent l="0" t="0" r="0" b="0"/>
            <wp:docPr id="2030666200" name="Picture 6" descr="A diagram of a circul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66200" name="Picture 6" descr="A diagram of a circular char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74390"/>
                    </a:xfrm>
                    <a:prstGeom prst="rect">
                      <a:avLst/>
                    </a:prstGeom>
                    <a:noFill/>
                    <a:ln>
                      <a:noFill/>
                    </a:ln>
                  </pic:spPr>
                </pic:pic>
              </a:graphicData>
            </a:graphic>
          </wp:inline>
        </w:drawing>
      </w:r>
      <w:r w:rsidR="00B46789" w:rsidRPr="00B46789">
        <w:rPr>
          <w:b/>
          <w:bCs/>
        </w:rPr>
        <w:t>Figure 8: Dietary Patterns (Cluster Profiles)</w:t>
      </w:r>
    </w:p>
    <w:p w14:paraId="04A7BD11" w14:textId="3F1DCC4B" w:rsidR="000331E1" w:rsidRPr="003C522E" w:rsidRDefault="000331E1" w:rsidP="000331E1">
      <w:r w:rsidRPr="003C522E">
        <w:t>Cluster analysis identified three distinct dietary patterns among the population:</w:t>
      </w:r>
    </w:p>
    <w:p w14:paraId="320CD6F8" w14:textId="77777777" w:rsidR="000331E1" w:rsidRPr="003C522E" w:rsidRDefault="000331E1" w:rsidP="000331E1">
      <w:pPr>
        <w:jc w:val="both"/>
      </w:pPr>
      <w:r w:rsidRPr="003C522E">
        <w:t xml:space="preserve">1. </w:t>
      </w:r>
      <w:r w:rsidRPr="003C522E">
        <w:rPr>
          <w:b/>
          <w:bCs/>
        </w:rPr>
        <w:t>Cluster 1 "Modern/Affluent Diet" (17.3%)</w:t>
      </w:r>
      <w:r w:rsidRPr="003C522E">
        <w:t xml:space="preserve">: Characterized by high consumption of all food groups, particularly Snacks (4.35), Dairy (4.29), and Fruits. This cluster is predominantly </w:t>
      </w:r>
      <w:r w:rsidRPr="003C522E">
        <w:rPr>
          <w:b/>
          <w:bCs/>
        </w:rPr>
        <w:t>Urban (80.6%)</w:t>
      </w:r>
      <w:r w:rsidRPr="003C522E">
        <w:t>, reflecting a diet rich in variety but also high in processed foods.</w:t>
      </w:r>
    </w:p>
    <w:p w14:paraId="319FBEDD" w14:textId="77777777" w:rsidR="000331E1" w:rsidRPr="003C522E" w:rsidRDefault="000331E1" w:rsidP="000331E1">
      <w:pPr>
        <w:jc w:val="both"/>
      </w:pPr>
      <w:r w:rsidRPr="003C522E">
        <w:t xml:space="preserve">2. </w:t>
      </w:r>
      <w:r w:rsidRPr="003C522E">
        <w:rPr>
          <w:b/>
          <w:bCs/>
        </w:rPr>
        <w:t>Cluster 2 "Limited Diet" (21.7%)</w:t>
      </w:r>
      <w:r w:rsidRPr="003C522E">
        <w:t xml:space="preserve">: Characterized by the lowest consumption frequency across all food groups. This cluster is predominantly </w:t>
      </w:r>
      <w:r w:rsidRPr="003C522E">
        <w:rPr>
          <w:b/>
          <w:bCs/>
        </w:rPr>
        <w:t>Rural (59.0%)</w:t>
      </w:r>
      <w:r w:rsidRPr="003C522E">
        <w:t>, indicating potential food insecurity or limited access to diverse foods.</w:t>
      </w:r>
    </w:p>
    <w:p w14:paraId="5869E4CC" w14:textId="77777777" w:rsidR="000331E1" w:rsidRPr="003C522E" w:rsidRDefault="000331E1" w:rsidP="000331E1">
      <w:pPr>
        <w:jc w:val="both"/>
      </w:pPr>
      <w:r w:rsidRPr="003C522E">
        <w:t xml:space="preserve">3. </w:t>
      </w:r>
      <w:r w:rsidRPr="003C522E">
        <w:rPr>
          <w:b/>
          <w:bCs/>
        </w:rPr>
        <w:t>Cluster 3 "Average/Mixed Diet" (61.0%)</w:t>
      </w:r>
      <w:r w:rsidRPr="003C522E">
        <w:t>: The largest group with moderate consumption of all food groups. It is balanced but slightly more Urban (56.6%).</w:t>
      </w:r>
    </w:p>
    <w:p w14:paraId="4F9E4446" w14:textId="77777777" w:rsidR="000331E1" w:rsidRPr="00B46789" w:rsidRDefault="000331E1" w:rsidP="00B46789"/>
    <w:p w14:paraId="5A6787AA" w14:textId="2F7CAAA0" w:rsidR="00B46789" w:rsidRPr="00B46789" w:rsidRDefault="000331E1" w:rsidP="00B46789">
      <w:r>
        <w:rPr>
          <w:noProof/>
        </w:rPr>
        <w:lastRenderedPageBreak/>
        <w:drawing>
          <wp:inline distT="0" distB="0" distL="0" distR="0" wp14:anchorId="2C94AA7F" wp14:editId="580A809E">
            <wp:extent cx="5943600" cy="2301240"/>
            <wp:effectExtent l="0" t="0" r="0" b="3810"/>
            <wp:docPr id="585632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301240"/>
                    </a:xfrm>
                    <a:prstGeom prst="rect">
                      <a:avLst/>
                    </a:prstGeom>
                    <a:noFill/>
                    <a:ln>
                      <a:noFill/>
                    </a:ln>
                  </pic:spPr>
                </pic:pic>
              </a:graphicData>
            </a:graphic>
          </wp:inline>
        </w:drawing>
      </w:r>
      <w:r w:rsidR="00B46789" w:rsidRPr="00B46789">
        <w:rPr>
          <w:b/>
          <w:bCs/>
        </w:rPr>
        <w:t>Figure 9: Dietary Diversity Score Analysis</w:t>
      </w:r>
    </w:p>
    <w:p w14:paraId="4ECB3D6C" w14:textId="6C9EBD35" w:rsidR="00B46789" w:rsidRPr="00B46789" w:rsidRDefault="00B46789" w:rsidP="00B46789">
      <w:r w:rsidRPr="00B46789">
        <w:t>The Dietary Diversity Score (DDS) analysis highlights the variety of foods consumed. Urban girls had a higher mean DDS compared to rural girls, indicating a more diverse diet.</w:t>
      </w:r>
    </w:p>
    <w:p w14:paraId="2FFE1B0B" w14:textId="1FFA5A78" w:rsidR="00B46789" w:rsidRPr="00B46789" w:rsidRDefault="000331E1" w:rsidP="00B46789">
      <w:r>
        <w:rPr>
          <w:noProof/>
        </w:rPr>
        <w:drawing>
          <wp:inline distT="0" distB="0" distL="0" distR="0" wp14:anchorId="59F68EFE" wp14:editId="14569122">
            <wp:extent cx="5943600" cy="3375660"/>
            <wp:effectExtent l="0" t="0" r="0" b="0"/>
            <wp:docPr id="1018311187" name="Picture 8" descr="A graph of food grou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11187" name="Picture 8" descr="A graph of food group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75660"/>
                    </a:xfrm>
                    <a:prstGeom prst="rect">
                      <a:avLst/>
                    </a:prstGeom>
                    <a:noFill/>
                    <a:ln>
                      <a:noFill/>
                    </a:ln>
                  </pic:spPr>
                </pic:pic>
              </a:graphicData>
            </a:graphic>
          </wp:inline>
        </w:drawing>
      </w:r>
      <w:r w:rsidR="00B46789" w:rsidRPr="00B46789">
        <w:rPr>
          <w:b/>
          <w:bCs/>
        </w:rPr>
        <w:t>Figure 10: Food Group Consumption</w:t>
      </w:r>
    </w:p>
    <w:p w14:paraId="000E63D6" w14:textId="23F44243" w:rsidR="00B46789" w:rsidRPr="00B46789" w:rsidRDefault="00B46789" w:rsidP="00B46789">
      <w:r w:rsidRPr="00B46789">
        <w:t xml:space="preserve">Consumption of specific food groups </w:t>
      </w:r>
      <w:r w:rsidR="000331E1" w:rsidRPr="00B46789">
        <w:t>varies</w:t>
      </w:r>
      <w:r w:rsidRPr="00B46789">
        <w:t>. Urban girls had higher mean consumption scores for Snacks (3.75 vs 3.44) and Dairy (3.36 vs 2.96), while rural girls had slightly higher consumption of Tubers (3.00 vs 2.97).</w:t>
      </w:r>
    </w:p>
    <w:p w14:paraId="4318C4C3" w14:textId="1E4DA65F" w:rsidR="00B46789" w:rsidRPr="00B46789" w:rsidRDefault="00B46789" w:rsidP="00B46789">
      <w:r w:rsidRPr="00B46789">
        <w:rPr>
          <w:b/>
          <w:bCs/>
        </w:rPr>
        <w:t>4.</w:t>
      </w:r>
      <w:r w:rsidR="0014390A">
        <w:rPr>
          <w:b/>
          <w:bCs/>
        </w:rPr>
        <w:t>4</w:t>
      </w:r>
      <w:r w:rsidRPr="00B46789">
        <w:rPr>
          <w:b/>
          <w:bCs/>
        </w:rPr>
        <w:t xml:space="preserve"> Specific Objective 4: Factors Affecting Dietary Habits</w:t>
      </w:r>
    </w:p>
    <w:p w14:paraId="28413347" w14:textId="77777777" w:rsidR="00B46789" w:rsidRPr="00B46789" w:rsidRDefault="00B46789" w:rsidP="00B46789">
      <w:r w:rsidRPr="00B46789">
        <w:t>Various factors influencing dietary habits were identified, along with specific eating behaviors.</w:t>
      </w:r>
    </w:p>
    <w:p w14:paraId="6858E203" w14:textId="77777777" w:rsidR="00B46789" w:rsidRPr="00B46789" w:rsidRDefault="00B46789" w:rsidP="00B46789"/>
    <w:p w14:paraId="17EFB096" w14:textId="042590C2" w:rsidR="00B46789" w:rsidRPr="00B46789" w:rsidRDefault="000331E1" w:rsidP="00B46789">
      <w:r>
        <w:rPr>
          <w:noProof/>
        </w:rPr>
        <w:drawing>
          <wp:inline distT="0" distB="0" distL="0" distR="0" wp14:anchorId="67243A8F" wp14:editId="0EB6C2A9">
            <wp:extent cx="5943600" cy="2937510"/>
            <wp:effectExtent l="0" t="0" r="0" b="0"/>
            <wp:docPr id="454506976" name="Picture 9" descr="A chart of food by resid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06976" name="Picture 9" descr="A chart of food by residenc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37510"/>
                    </a:xfrm>
                    <a:prstGeom prst="rect">
                      <a:avLst/>
                    </a:prstGeom>
                    <a:noFill/>
                    <a:ln>
                      <a:noFill/>
                    </a:ln>
                  </pic:spPr>
                </pic:pic>
              </a:graphicData>
            </a:graphic>
          </wp:inline>
        </w:drawing>
      </w:r>
      <w:r w:rsidR="00B46789" w:rsidRPr="00B46789">
        <w:rPr>
          <w:b/>
          <w:bCs/>
        </w:rPr>
        <w:t>Figure 11: Influence of Cost of Food</w:t>
      </w:r>
    </w:p>
    <w:p w14:paraId="61562516" w14:textId="77777777" w:rsidR="00B46789" w:rsidRPr="00B46789" w:rsidRDefault="00B46789" w:rsidP="00B46789">
      <w:r w:rsidRPr="00B46789">
        <w:t>Cost of food was a major factor, with 54.0% of respondents strongly agreeing that it affects their choices. This was more pronounced in rural areas (60.0% strongly agree) compared to urban areas (49.3%).</w:t>
      </w:r>
    </w:p>
    <w:p w14:paraId="40D9987B" w14:textId="77777777" w:rsidR="00B46789" w:rsidRPr="00B46789" w:rsidRDefault="00B46789" w:rsidP="00B46789"/>
    <w:p w14:paraId="10FF54B6" w14:textId="4B795B58" w:rsidR="00B46789" w:rsidRPr="00B46789" w:rsidRDefault="000331E1" w:rsidP="00B46789">
      <w:r>
        <w:rPr>
          <w:noProof/>
        </w:rPr>
        <w:drawing>
          <wp:inline distT="0" distB="0" distL="0" distR="0" wp14:anchorId="34F4E40A" wp14:editId="09B20D59">
            <wp:extent cx="5943600" cy="2933700"/>
            <wp:effectExtent l="0" t="0" r="0" b="0"/>
            <wp:docPr id="1877361166" name="Picture 10" descr="A graph of food availability by resid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61166" name="Picture 10" descr="A graph of food availability by residenc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r w:rsidR="00B46789" w:rsidRPr="00B46789">
        <w:rPr>
          <w:b/>
          <w:bCs/>
        </w:rPr>
        <w:t>Figure 12: Influence of Food Availability</w:t>
      </w:r>
    </w:p>
    <w:p w14:paraId="2E617A4C" w14:textId="77777777" w:rsidR="00B46789" w:rsidRPr="00B46789" w:rsidRDefault="00B46789" w:rsidP="00B46789">
      <w:r w:rsidRPr="00B46789">
        <w:lastRenderedPageBreak/>
        <w:t>Food availability also played a significant role, with 68.4% strongly agreeing. Rural respondents (73.8%) felt this more strongly than urban respondents (64.3%).</w:t>
      </w:r>
    </w:p>
    <w:p w14:paraId="6C9D8794" w14:textId="77777777" w:rsidR="00B46789" w:rsidRPr="00B46789" w:rsidRDefault="00B46789" w:rsidP="00B46789"/>
    <w:p w14:paraId="7B5DA6B8" w14:textId="3E31DB0C" w:rsidR="00B46789" w:rsidRPr="00B46789" w:rsidRDefault="0014390A" w:rsidP="00B46789">
      <w:r>
        <w:rPr>
          <w:noProof/>
        </w:rPr>
        <w:drawing>
          <wp:inline distT="0" distB="0" distL="0" distR="0" wp14:anchorId="4C422CD8" wp14:editId="58E0B6DF">
            <wp:extent cx="5943600" cy="2933700"/>
            <wp:effectExtent l="0" t="0" r="0" b="0"/>
            <wp:docPr id="1496193237" name="Picture 11" descr="A chart of a nutritional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93237" name="Picture 11" descr="A chart of a nutritional valu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r w:rsidR="00B46789" w:rsidRPr="00B46789">
        <w:rPr>
          <w:b/>
          <w:bCs/>
        </w:rPr>
        <w:t>Figure 13: Influence of Nutritional Knowledge</w:t>
      </w:r>
    </w:p>
    <w:p w14:paraId="52D1DB80" w14:textId="77777777" w:rsidR="00B46789" w:rsidRPr="00B46789" w:rsidRDefault="00B46789" w:rsidP="00B46789">
      <w:r w:rsidRPr="00B46789">
        <w:t>Nutritional knowledge influenced choices, with 38.7% agreeing and 37.9% strongly agreeing. The distribution was relatively similar across both groups.</w:t>
      </w:r>
    </w:p>
    <w:p w14:paraId="57DEA4AD" w14:textId="77777777" w:rsidR="00B46789" w:rsidRPr="00B46789" w:rsidRDefault="00B46789" w:rsidP="00B46789"/>
    <w:p w14:paraId="73333BB8" w14:textId="33B0FDC2" w:rsidR="00B46789" w:rsidRPr="00B46789" w:rsidRDefault="0014390A" w:rsidP="00B46789">
      <w:r>
        <w:rPr>
          <w:noProof/>
        </w:rPr>
        <w:drawing>
          <wp:inline distT="0" distB="0" distL="0" distR="0" wp14:anchorId="7A399E0F" wp14:editId="4B9CC93B">
            <wp:extent cx="5943600" cy="2937510"/>
            <wp:effectExtent l="0" t="0" r="0" b="0"/>
            <wp:docPr id="1842485777" name="Picture 12" descr="A graph showing a number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5777" name="Picture 12" descr="A graph showing a number of colored squar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937510"/>
                    </a:xfrm>
                    <a:prstGeom prst="rect">
                      <a:avLst/>
                    </a:prstGeom>
                    <a:noFill/>
                    <a:ln>
                      <a:noFill/>
                    </a:ln>
                  </pic:spPr>
                </pic:pic>
              </a:graphicData>
            </a:graphic>
          </wp:inline>
        </w:drawing>
      </w:r>
      <w:r w:rsidR="00B46789" w:rsidRPr="00B46789">
        <w:rPr>
          <w:b/>
          <w:bCs/>
        </w:rPr>
        <w:t>Figure 14: Peer Influence</w:t>
      </w:r>
    </w:p>
    <w:p w14:paraId="0F86EC65" w14:textId="77777777" w:rsidR="00B46789" w:rsidRPr="00B46789" w:rsidRDefault="00B46789" w:rsidP="00B46789">
      <w:r w:rsidRPr="00B46789">
        <w:lastRenderedPageBreak/>
        <w:t>Peer influence showed mixed results. A significant portion disagreed (31.6%) or strongly disagreed (29.4%) that peers influenced their diet, though 22.9% agreed.</w:t>
      </w:r>
    </w:p>
    <w:p w14:paraId="46279D8E" w14:textId="77777777" w:rsidR="00B46789" w:rsidRPr="00B46789" w:rsidRDefault="00B46789" w:rsidP="00B46789"/>
    <w:p w14:paraId="00B3EF05" w14:textId="249BDD6E" w:rsidR="00B46789" w:rsidRPr="00B46789" w:rsidRDefault="0014390A" w:rsidP="00B46789">
      <w:r>
        <w:rPr>
          <w:noProof/>
        </w:rPr>
        <w:drawing>
          <wp:inline distT="0" distB="0" distL="0" distR="0" wp14:anchorId="15B97ED6" wp14:editId="7D4E9AFD">
            <wp:extent cx="5943600" cy="2933700"/>
            <wp:effectExtent l="0" t="0" r="0" b="0"/>
            <wp:docPr id="1666072153" name="Picture 13" descr="A graph showing a number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72153" name="Picture 13" descr="A graph showing a number of colored squar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r w:rsidR="00B46789" w:rsidRPr="00B46789">
        <w:rPr>
          <w:b/>
          <w:bCs/>
        </w:rPr>
        <w:t>Figure 15: Influence of Socio-Economic Status</w:t>
      </w:r>
    </w:p>
    <w:p w14:paraId="11E54D57" w14:textId="77777777" w:rsidR="00B46789" w:rsidRPr="00B46789" w:rsidRDefault="00B46789" w:rsidP="00B46789">
      <w:r w:rsidRPr="00B46789">
        <w:t>Socio-economic status was acknowledged as a factor, with 38.4% strongly agreeing and 37.6% agreeing that it affects their dietary habits.</w:t>
      </w:r>
    </w:p>
    <w:p w14:paraId="24D4B0C4" w14:textId="77777777" w:rsidR="00B46789" w:rsidRPr="00B46789" w:rsidRDefault="00B46789" w:rsidP="00B46789"/>
    <w:p w14:paraId="7A21E245" w14:textId="1D98102D" w:rsidR="00B46789" w:rsidRPr="00B46789" w:rsidRDefault="0014390A" w:rsidP="00B46789">
      <w:r>
        <w:rPr>
          <w:noProof/>
        </w:rPr>
        <w:drawing>
          <wp:inline distT="0" distB="0" distL="0" distR="0" wp14:anchorId="36853CCB" wp14:editId="1085EFD6">
            <wp:extent cx="5943600" cy="2938780"/>
            <wp:effectExtent l="0" t="0" r="0" b="0"/>
            <wp:docPr id="1080972284" name="Picture 14"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72284" name="Picture 14" descr="A graph of a bar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938780"/>
                    </a:xfrm>
                    <a:prstGeom prst="rect">
                      <a:avLst/>
                    </a:prstGeom>
                    <a:noFill/>
                    <a:ln>
                      <a:noFill/>
                    </a:ln>
                  </pic:spPr>
                </pic:pic>
              </a:graphicData>
            </a:graphic>
          </wp:inline>
        </w:drawing>
      </w:r>
      <w:r w:rsidR="00B46789" w:rsidRPr="00B46789">
        <w:rPr>
          <w:b/>
          <w:bCs/>
        </w:rPr>
        <w:t>Figure 16: Meals Per Day</w:t>
      </w:r>
    </w:p>
    <w:p w14:paraId="00F271D6" w14:textId="77777777" w:rsidR="00B46789" w:rsidRPr="00B46789" w:rsidRDefault="00B46789" w:rsidP="00B46789">
      <w:r w:rsidRPr="00B46789">
        <w:lastRenderedPageBreak/>
        <w:t>Regarding meal frequency, 42.0% of girls consumed 3 meals per day. This practice was more common in urban areas (46.9%) than in rural areas (35.6%).</w:t>
      </w:r>
    </w:p>
    <w:p w14:paraId="7005C4E1" w14:textId="77777777" w:rsidR="00B46789" w:rsidRPr="00B46789" w:rsidRDefault="00B46789" w:rsidP="00B46789"/>
    <w:p w14:paraId="596C5DD8" w14:textId="17809F16" w:rsidR="00B46789" w:rsidRPr="00B46789" w:rsidRDefault="0014390A" w:rsidP="00B46789">
      <w:r>
        <w:rPr>
          <w:noProof/>
        </w:rPr>
        <w:drawing>
          <wp:inline distT="0" distB="0" distL="0" distR="0" wp14:anchorId="2AB13CE8" wp14:editId="3107BA61">
            <wp:extent cx="5943600" cy="3531870"/>
            <wp:effectExtent l="0" t="0" r="0" b="0"/>
            <wp:docPr id="780863739" name="Picture 15"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63739" name="Picture 15" descr="A graph of a bar char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531870"/>
                    </a:xfrm>
                    <a:prstGeom prst="rect">
                      <a:avLst/>
                    </a:prstGeom>
                    <a:noFill/>
                    <a:ln>
                      <a:noFill/>
                    </a:ln>
                  </pic:spPr>
                </pic:pic>
              </a:graphicData>
            </a:graphic>
          </wp:inline>
        </w:drawing>
      </w:r>
      <w:r w:rsidR="00B46789" w:rsidRPr="00B46789">
        <w:rPr>
          <w:b/>
          <w:bCs/>
        </w:rPr>
        <w:t>Figure 17: Meal Skipping</w:t>
      </w:r>
    </w:p>
    <w:p w14:paraId="2D58FEB0" w14:textId="77777777" w:rsidR="00B46789" w:rsidRPr="00B46789" w:rsidRDefault="00B46789" w:rsidP="00B46789">
      <w:r w:rsidRPr="00B46789">
        <w:t>Meal skipping was prevalent, with 51.8% of respondents reporting that they skip meals. This was higher in rural areas (58.1%) compared to urban areas (46.9%).</w:t>
      </w:r>
    </w:p>
    <w:p w14:paraId="4A2F69E6" w14:textId="77777777" w:rsidR="00B46789" w:rsidRPr="00B46789" w:rsidRDefault="00B46789" w:rsidP="00B46789"/>
    <w:p w14:paraId="169E030D" w14:textId="765BBF56" w:rsidR="00B46789" w:rsidRPr="00B46789" w:rsidRDefault="0014390A" w:rsidP="00B46789">
      <w:r>
        <w:rPr>
          <w:noProof/>
        </w:rPr>
        <w:lastRenderedPageBreak/>
        <w:drawing>
          <wp:inline distT="0" distB="0" distL="0" distR="0" wp14:anchorId="33F65D08" wp14:editId="6C73C98B">
            <wp:extent cx="5943600" cy="2942590"/>
            <wp:effectExtent l="0" t="0" r="0" b="0"/>
            <wp:docPr id="82772666" name="Picture 16" descr="A graph of a type of me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2666" name="Picture 16" descr="A graph of a type of meal&#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942590"/>
                    </a:xfrm>
                    <a:prstGeom prst="rect">
                      <a:avLst/>
                    </a:prstGeom>
                    <a:noFill/>
                    <a:ln>
                      <a:noFill/>
                    </a:ln>
                  </pic:spPr>
                </pic:pic>
              </a:graphicData>
            </a:graphic>
          </wp:inline>
        </w:drawing>
      </w:r>
      <w:r w:rsidR="00B46789" w:rsidRPr="00B46789">
        <w:rPr>
          <w:b/>
          <w:bCs/>
        </w:rPr>
        <w:t>Figure 18: Meal Type Skipped</w:t>
      </w:r>
    </w:p>
    <w:p w14:paraId="46E7B747" w14:textId="77777777" w:rsidR="00B46789" w:rsidRPr="00B46789" w:rsidRDefault="00B46789" w:rsidP="00B46789">
      <w:r w:rsidRPr="00B46789">
        <w:t>Breakfast was the most frequently skipped meal.</w:t>
      </w:r>
    </w:p>
    <w:p w14:paraId="426F096B" w14:textId="77777777" w:rsidR="00B46789" w:rsidRPr="00B46789" w:rsidRDefault="00B46789" w:rsidP="00B46789"/>
    <w:p w14:paraId="15000595" w14:textId="7ACCC219" w:rsidR="00B46789" w:rsidRPr="00B46789" w:rsidRDefault="0014390A" w:rsidP="00B46789">
      <w:r>
        <w:rPr>
          <w:noProof/>
        </w:rPr>
        <w:drawing>
          <wp:inline distT="0" distB="0" distL="0" distR="0" wp14:anchorId="0599BE16" wp14:editId="2FE7D8C5">
            <wp:extent cx="5943600" cy="2534920"/>
            <wp:effectExtent l="0" t="0" r="0" b="0"/>
            <wp:docPr id="260364170" name="Picture 17"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64170" name="Picture 17" descr="A graph of a number of peopl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534920"/>
                    </a:xfrm>
                    <a:prstGeom prst="rect">
                      <a:avLst/>
                    </a:prstGeom>
                    <a:noFill/>
                    <a:ln>
                      <a:noFill/>
                    </a:ln>
                  </pic:spPr>
                </pic:pic>
              </a:graphicData>
            </a:graphic>
          </wp:inline>
        </w:drawing>
      </w:r>
      <w:r w:rsidR="00B46789" w:rsidRPr="00B46789">
        <w:rPr>
          <w:b/>
          <w:bCs/>
        </w:rPr>
        <w:t>Figure 19: Reasons for Skipping Meals</w:t>
      </w:r>
    </w:p>
    <w:p w14:paraId="3CE2D42F" w14:textId="77777777" w:rsidR="00B46789" w:rsidRPr="00B46789" w:rsidRDefault="00B46789" w:rsidP="00B46789">
      <w:r w:rsidRPr="00B46789">
        <w:t>The primary reasons for skipping meals were "Not hungry" (18.0%) and "No food available" (9.5%). In rural areas, "No food available" was a more significant reason (18.1%) compared to urban areas (2.9%).</w:t>
      </w:r>
    </w:p>
    <w:p w14:paraId="64F2EB9C" w14:textId="77777777" w:rsidR="00B46789" w:rsidRPr="00B46789" w:rsidRDefault="00B46789" w:rsidP="00B46789"/>
    <w:p w14:paraId="48FF12AA" w14:textId="2DBB00CA" w:rsidR="00B46789" w:rsidRPr="00B46789" w:rsidRDefault="0014390A" w:rsidP="00B46789">
      <w:r>
        <w:rPr>
          <w:noProof/>
        </w:rPr>
        <w:lastRenderedPageBreak/>
        <w:drawing>
          <wp:inline distT="0" distB="0" distL="0" distR="0" wp14:anchorId="605FA4FC" wp14:editId="4C63E8D4">
            <wp:extent cx="5943600" cy="2941955"/>
            <wp:effectExtent l="0" t="0" r="0" b="0"/>
            <wp:docPr id="103806354" name="Picture 18"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6354" name="Picture 18" descr="A graph of a bar graph&#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941955"/>
                    </a:xfrm>
                    <a:prstGeom prst="rect">
                      <a:avLst/>
                    </a:prstGeom>
                    <a:noFill/>
                    <a:ln>
                      <a:noFill/>
                    </a:ln>
                  </pic:spPr>
                </pic:pic>
              </a:graphicData>
            </a:graphic>
          </wp:inline>
        </w:drawing>
      </w:r>
      <w:r w:rsidR="00B46789" w:rsidRPr="00B46789">
        <w:rPr>
          <w:b/>
          <w:bCs/>
        </w:rPr>
        <w:t>Figure 20: Frequency of Eating Out</w:t>
      </w:r>
    </w:p>
    <w:p w14:paraId="7C7BDF77" w14:textId="77777777" w:rsidR="00B46789" w:rsidRPr="00B46789" w:rsidRDefault="00B46789" w:rsidP="00B46789">
      <w:r w:rsidRPr="00B46789">
        <w:t>Eating out was relatively infrequent, with 22.6% doing so "rarely". However, urban girls ate out more frequently than rural girls.</w:t>
      </w:r>
    </w:p>
    <w:p w14:paraId="3738E506" w14:textId="77777777" w:rsidR="00B46789" w:rsidRPr="00B46789" w:rsidRDefault="00B46789" w:rsidP="00B46789"/>
    <w:p w14:paraId="2D49CC88" w14:textId="62924BD2" w:rsidR="00B46789" w:rsidRPr="00B46789" w:rsidRDefault="0014390A" w:rsidP="00B46789">
      <w:r>
        <w:rPr>
          <w:noProof/>
        </w:rPr>
        <w:drawing>
          <wp:inline distT="0" distB="0" distL="0" distR="0" wp14:anchorId="5B8614A7" wp14:editId="73598583">
            <wp:extent cx="5943600" cy="2941955"/>
            <wp:effectExtent l="0" t="0" r="0" b="0"/>
            <wp:docPr id="4287074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941955"/>
                    </a:xfrm>
                    <a:prstGeom prst="rect">
                      <a:avLst/>
                    </a:prstGeom>
                    <a:noFill/>
                    <a:ln>
                      <a:noFill/>
                    </a:ln>
                  </pic:spPr>
                </pic:pic>
              </a:graphicData>
            </a:graphic>
          </wp:inline>
        </w:drawing>
      </w:r>
      <w:r w:rsidR="00B46789" w:rsidRPr="00B46789">
        <w:rPr>
          <w:b/>
          <w:bCs/>
        </w:rPr>
        <w:t>Figure 21: Snack Preference</w:t>
      </w:r>
    </w:p>
    <w:p w14:paraId="4B760C02" w14:textId="5FB30F29" w:rsidR="00554D9E" w:rsidRDefault="00B46789">
      <w:r w:rsidRPr="00B46789">
        <w:t>Most respondents (80.4%) stated they did not prefer snacks over main meals. However, 17.4% did prefer snacks, with a slightly higher percentage in urban areas (19.8%) compared to rural areas (14.4%).</w:t>
      </w:r>
    </w:p>
    <w:sectPr w:rsidR="00554D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9C0DE" w14:textId="77777777" w:rsidR="001B0865" w:rsidRDefault="001B0865" w:rsidP="000331E1">
      <w:pPr>
        <w:spacing w:after="0" w:line="240" w:lineRule="auto"/>
      </w:pPr>
      <w:r>
        <w:separator/>
      </w:r>
    </w:p>
  </w:endnote>
  <w:endnote w:type="continuationSeparator" w:id="0">
    <w:p w14:paraId="1A05B4D3" w14:textId="77777777" w:rsidR="001B0865" w:rsidRDefault="001B0865" w:rsidP="00033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148A9" w14:textId="77777777" w:rsidR="001B0865" w:rsidRDefault="001B0865" w:rsidP="000331E1">
      <w:pPr>
        <w:spacing w:after="0" w:line="240" w:lineRule="auto"/>
      </w:pPr>
      <w:r>
        <w:separator/>
      </w:r>
    </w:p>
  </w:footnote>
  <w:footnote w:type="continuationSeparator" w:id="0">
    <w:p w14:paraId="01B08803" w14:textId="77777777" w:rsidR="001B0865" w:rsidRDefault="001B0865" w:rsidP="000331E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789"/>
    <w:rsid w:val="000331E1"/>
    <w:rsid w:val="0014390A"/>
    <w:rsid w:val="001B0865"/>
    <w:rsid w:val="00554D9E"/>
    <w:rsid w:val="007C6BC7"/>
    <w:rsid w:val="00B46789"/>
    <w:rsid w:val="00BC1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FC779"/>
  <w15:chartTrackingRefBased/>
  <w15:docId w15:val="{724AFA56-3BDD-4596-89F9-1B697EF76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78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4678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4678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4678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4678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6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78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4678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4678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4678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4678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6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789"/>
    <w:rPr>
      <w:rFonts w:eastAsiaTheme="majorEastAsia" w:cstheme="majorBidi"/>
      <w:color w:val="272727" w:themeColor="text1" w:themeTint="D8"/>
    </w:rPr>
  </w:style>
  <w:style w:type="paragraph" w:styleId="Title">
    <w:name w:val="Title"/>
    <w:basedOn w:val="Normal"/>
    <w:next w:val="Normal"/>
    <w:link w:val="TitleChar"/>
    <w:uiPriority w:val="10"/>
    <w:qFormat/>
    <w:rsid w:val="00B46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789"/>
    <w:pPr>
      <w:spacing w:before="160"/>
      <w:jc w:val="center"/>
    </w:pPr>
    <w:rPr>
      <w:i/>
      <w:iCs/>
      <w:color w:val="404040" w:themeColor="text1" w:themeTint="BF"/>
    </w:rPr>
  </w:style>
  <w:style w:type="character" w:customStyle="1" w:styleId="QuoteChar">
    <w:name w:val="Quote Char"/>
    <w:basedOn w:val="DefaultParagraphFont"/>
    <w:link w:val="Quote"/>
    <w:uiPriority w:val="29"/>
    <w:rsid w:val="00B46789"/>
    <w:rPr>
      <w:i/>
      <w:iCs/>
      <w:color w:val="404040" w:themeColor="text1" w:themeTint="BF"/>
    </w:rPr>
  </w:style>
  <w:style w:type="paragraph" w:styleId="ListParagraph">
    <w:name w:val="List Paragraph"/>
    <w:basedOn w:val="Normal"/>
    <w:uiPriority w:val="34"/>
    <w:qFormat/>
    <w:rsid w:val="00B46789"/>
    <w:pPr>
      <w:ind w:left="720"/>
      <w:contextualSpacing/>
    </w:pPr>
  </w:style>
  <w:style w:type="character" w:styleId="IntenseEmphasis">
    <w:name w:val="Intense Emphasis"/>
    <w:basedOn w:val="DefaultParagraphFont"/>
    <w:uiPriority w:val="21"/>
    <w:qFormat/>
    <w:rsid w:val="00B46789"/>
    <w:rPr>
      <w:i/>
      <w:iCs/>
      <w:color w:val="2E74B5" w:themeColor="accent1" w:themeShade="BF"/>
    </w:rPr>
  </w:style>
  <w:style w:type="paragraph" w:styleId="IntenseQuote">
    <w:name w:val="Intense Quote"/>
    <w:basedOn w:val="Normal"/>
    <w:next w:val="Normal"/>
    <w:link w:val="IntenseQuoteChar"/>
    <w:uiPriority w:val="30"/>
    <w:qFormat/>
    <w:rsid w:val="00B467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6789"/>
    <w:rPr>
      <w:i/>
      <w:iCs/>
      <w:color w:val="2E74B5" w:themeColor="accent1" w:themeShade="BF"/>
    </w:rPr>
  </w:style>
  <w:style w:type="character" w:styleId="IntenseReference">
    <w:name w:val="Intense Reference"/>
    <w:basedOn w:val="DefaultParagraphFont"/>
    <w:uiPriority w:val="32"/>
    <w:qFormat/>
    <w:rsid w:val="00B46789"/>
    <w:rPr>
      <w:b/>
      <w:bCs/>
      <w:smallCaps/>
      <w:color w:val="2E74B5" w:themeColor="accent1" w:themeShade="BF"/>
      <w:spacing w:val="5"/>
    </w:rPr>
  </w:style>
  <w:style w:type="paragraph" w:styleId="Header">
    <w:name w:val="header"/>
    <w:basedOn w:val="Normal"/>
    <w:link w:val="HeaderChar"/>
    <w:uiPriority w:val="99"/>
    <w:unhideWhenUsed/>
    <w:rsid w:val="000331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31E1"/>
  </w:style>
  <w:style w:type="paragraph" w:styleId="Footer">
    <w:name w:val="footer"/>
    <w:basedOn w:val="Normal"/>
    <w:link w:val="FooterChar"/>
    <w:uiPriority w:val="99"/>
    <w:unhideWhenUsed/>
    <w:rsid w:val="000331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31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12</Pages>
  <Words>922</Words>
  <Characters>5258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Sunday Chibuike Onah</dc:creator>
  <cp:keywords/>
  <dc:description/>
  <cp:lastModifiedBy>Sunday Chibuike Onah</cp:lastModifiedBy>
  <cp:revision>1</cp:revision>
  <dcterms:created xsi:type="dcterms:W3CDTF">2025-12-05T04:31:00Z</dcterms:created>
  <dcterms:modified xsi:type="dcterms:W3CDTF">2025-12-05T05:18:00Z</dcterms:modified>
</cp:coreProperties>
</file>