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2C2DB5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2C2DB5">
        <w:rPr>
          <w:rFonts w:ascii="Century Gothic" w:hAnsi="Century Gothic"/>
          <w:b/>
          <w:bCs/>
          <w:i/>
          <w:iCs/>
          <w:sz w:val="72"/>
        </w:rPr>
        <w:t>“</w:t>
      </w:r>
      <w:r w:rsidRPr="002C2DB5">
        <w:rPr>
          <w:rFonts w:ascii="Century Gothic" w:hAnsi="Century Gothic"/>
          <w:b/>
          <w:bCs/>
          <w:i/>
          <w:iCs/>
          <w:sz w:val="96"/>
        </w:rPr>
        <w:t>StudyMe</w:t>
      </w:r>
      <w:r w:rsidRPr="002C2DB5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790B04" w:rsidRDefault="00CA7D0A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CA7D0A" w:rsidRPr="000C6D20" w:rsidRDefault="00CA7D0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CA7D0A" w:rsidRPr="000C6D20" w:rsidRDefault="00CA7D0A" w:rsidP="00790B04"/>
                          <w:p w14:paraId="176716BA" w14:textId="467F3967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5F896256" w:rsidR="00CA7D0A" w:rsidRPr="000C6D20" w:rsidRDefault="00CA7D0A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CA7D0A" w:rsidRPr="00790B04" w:rsidRDefault="00CA7D0A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CA7D0A" w:rsidRPr="000C6D20" w:rsidRDefault="00CA7D0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CA7D0A" w:rsidRPr="000C6D20" w:rsidRDefault="00CA7D0A" w:rsidP="00790B04"/>
                    <w:p w14:paraId="176716BA" w14:textId="467F3967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5F896256" w:rsidR="00CA7D0A" w:rsidRPr="000C6D20" w:rsidRDefault="00CA7D0A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Default="00CA7D0A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CA7D0A" w:rsidRPr="00DB2868" w:rsidRDefault="00CA7D0A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CA7D0A" w:rsidRDefault="00CA7D0A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CA7D0A" w:rsidRPr="00DB2868" w:rsidRDefault="00CA7D0A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2C2DB5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2C2DB5">
        <w:rPr>
          <w:rFonts w:ascii="Century Gothic" w:hAnsi="Century Gothic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2C2DB5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2C2DB5">
            <w:rPr>
              <w:rFonts w:ascii="Century Gothic" w:hAnsi="Century Gothic"/>
              <w:b/>
              <w:bCs/>
              <w:color w:val="FF0000"/>
            </w:rPr>
            <w:t>Sommario</w:t>
          </w:r>
        </w:p>
        <w:p w14:paraId="6855657D" w14:textId="3AD5D0A8" w:rsidR="00185A56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26267038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F235BE8" w14:textId="79FDBD5B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3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Scopo del 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A89918B" w14:textId="59BD23B3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Design goals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AA17F87" w14:textId="26EEC43A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1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Definizioni, acronomi, e abbreviazioni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0A62599" w14:textId="5C6F0617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2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Riferimenti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_Toc26267042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30FD4A55" w14:textId="67C0FB2A" w:rsidR="00185A56" w:rsidRDefault="00AF1183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3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_Toc26267043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0195A27" w14:textId="4BA333E6" w:rsidR="00185A56" w:rsidRDefault="00AF1183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4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_Toc26267044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A43147" w14:textId="43939A7A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5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Decomposizione in sottosistemi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_Toc26267045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0369F5" w14:textId="541076C5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6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Mapping hardware/software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_Toc26267046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B04921B" w14:textId="648CC83E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7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 xml:space="preserve">3.3 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Gestione dei dati persistenti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_Toc26267047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965CED5" w14:textId="4919657F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8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degli accessi e sicurezza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1BC7D9E" w14:textId="197B5D64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globale del 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2C1819" w14:textId="63787764" w:rsidR="00185A56" w:rsidRDefault="00AF1183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5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3.5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Boundary Condition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A5611C" w14:textId="2D804254" w:rsidR="00185A56" w:rsidRDefault="00AF1183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51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10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3CB684A" w14:textId="608B2378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50158BC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7D617659" w14:textId="240CAACE" w:rsidR="00CD59BB" w:rsidRPr="002C2DB5" w:rsidRDefault="00DD14A9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  <w:r w:rsidRPr="002C2DB5">
        <w:rPr>
          <w:rFonts w:ascii="Century Gothic" w:hAnsi="Century Gothic" w:cs="Leelawadee UI"/>
          <w:b/>
          <w:bCs/>
          <w:sz w:val="32"/>
          <w:szCs w:val="32"/>
        </w:rPr>
        <w:lastRenderedPageBreak/>
        <w:t>System Design Document</w:t>
      </w:r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0" w:name="_Toc26267038"/>
      <w:bookmarkEnd w:id="0"/>
      <w:r w:rsidRPr="002C2DB5">
        <w:rPr>
          <w:rFonts w:ascii="Century Gothic" w:hAnsi="Century Gothic" w:cs="Leelawadee UI"/>
          <w:sz w:val="28"/>
          <w:szCs w:val="28"/>
        </w:rPr>
        <w:t>Introduzione</w:t>
      </w:r>
      <w:bookmarkEnd w:id="10"/>
    </w:p>
    <w:p w14:paraId="6E118628" w14:textId="77A6E934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1" w:name="_Toc26267039"/>
      <w:r w:rsidRPr="002C2DB5">
        <w:rPr>
          <w:rFonts w:ascii="Century Gothic" w:hAnsi="Century Gothic" w:cs="Leelawadee UI"/>
          <w:b/>
          <w:bCs/>
          <w:color w:val="auto"/>
        </w:rPr>
        <w:t>Scopo del sistema</w:t>
      </w:r>
      <w:bookmarkEnd w:id="1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proofErr w:type="gramStart"/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fornire</w:t>
      </w:r>
      <w:proofErr w:type="gramEnd"/>
      <w:r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StudyMe,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Udemy e Lynda</w:t>
      </w:r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2" w:name="_Toc26267040"/>
      <w:r w:rsidRPr="002C2DB5">
        <w:rPr>
          <w:rFonts w:ascii="Century Gothic" w:hAnsi="Century Gothic" w:cs="Leelawadee UI"/>
          <w:b/>
          <w:bCs/>
          <w:color w:val="auto"/>
        </w:rPr>
        <w:t>Design goals</w:t>
      </w:r>
      <w:bookmarkEnd w:id="1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2C2DB5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Mantenimento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="002A4B18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2C2DB5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Utente Finale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="000A5507" w:rsidRPr="002C2DB5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="000A5507" w:rsidRPr="002C2DB5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3" w:name="_Toc23412440"/>
      <w:r w:rsidRPr="002C2DB5">
        <w:rPr>
          <w:rFonts w:ascii="Century Gothic" w:hAnsi="Century Gothic" w:cs="Leelawadee UI"/>
          <w:b/>
          <w:bCs/>
          <w:sz w:val="24"/>
          <w:szCs w:val="24"/>
        </w:rPr>
        <w:t>Affidabilità</w:t>
      </w:r>
      <w:bookmarkEnd w:id="13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1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>Le password degli utenti saranno protette da chiavi crittografiche affichè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5" w:name="_Toc23412441"/>
      <w:r w:rsidRPr="002C2DB5">
        <w:rPr>
          <w:rFonts w:ascii="Century Gothic" w:hAnsi="Century Gothic" w:cs="Leelawadee UI"/>
          <w:b/>
          <w:bCs/>
          <w:sz w:val="24"/>
          <w:szCs w:val="24"/>
        </w:rPr>
        <w:t>Performance</w:t>
      </w:r>
      <w:bookmarkEnd w:id="15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6" w:name="_Toc26267041"/>
      <w:r w:rsidRPr="002C2DB5">
        <w:rPr>
          <w:rFonts w:ascii="Century Gothic" w:hAnsi="Century Gothic" w:cs="Leelawadee UI"/>
          <w:b/>
          <w:bCs/>
          <w:color w:val="auto"/>
        </w:rPr>
        <w:lastRenderedPageBreak/>
        <w:t>Definizioni, acronomi, e abbreviazioni</w:t>
      </w:r>
      <w:bookmarkEnd w:id="1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StudyMe: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2C2DB5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7" w:name="_Toc26267042"/>
      <w:r w:rsidRPr="002C2DB5">
        <w:rPr>
          <w:rFonts w:ascii="Century Gothic" w:hAnsi="Century Gothic" w:cs="Leelawadee UI"/>
          <w:b/>
          <w:bCs/>
          <w:color w:val="auto"/>
        </w:rPr>
        <w:t>Riferimenti</w:t>
      </w:r>
      <w:bookmarkEnd w:id="1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StudyMe. </w:t>
      </w:r>
    </w:p>
    <w:p w14:paraId="5BE12BDE" w14:textId="0AADE4C3" w:rsidR="00CB0351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8" w:name="_Toc26267043"/>
      <w:r w:rsidRPr="002C2DB5">
        <w:rPr>
          <w:rFonts w:ascii="Century Gothic" w:hAnsi="Century Gothic" w:cs="Leelawadee UI"/>
          <w:sz w:val="28"/>
          <w:szCs w:val="28"/>
        </w:rPr>
        <w:t>Architettura del sistema corrente</w:t>
      </w:r>
      <w:bookmarkEnd w:id="1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 xml:space="preserve">StudyMe è un progetto di ingegneria Greenfield,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19" w:name="_Toc26267044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Architettura software proposta</w:t>
      </w:r>
      <w:bookmarkEnd w:id="19"/>
    </w:p>
    <w:p w14:paraId="6A887973" w14:textId="60C16A6B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0" w:name="_Toc26267045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20"/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0E694F85" w:rsidR="00E172EA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Per la realizzazione del sistema sarà utilizzata una architettura </w:t>
      </w:r>
      <w:r w:rsidR="00550F45">
        <w:rPr>
          <w:rFonts w:ascii="Century Gothic" w:hAnsi="Century Gothic" w:cs="Leelawadee UI"/>
        </w:rPr>
        <w:t>MVC. Essa si struttura in tre componenti, ognuna con un compito diverso nel sistema</w:t>
      </w:r>
      <w:r w:rsidRPr="002C2DB5">
        <w:rPr>
          <w:rFonts w:ascii="Century Gothic" w:hAnsi="Century Gothic" w:cs="Leelawadee UI"/>
        </w:rPr>
        <w:t>:</w:t>
      </w:r>
    </w:p>
    <w:p w14:paraId="791C6533" w14:textId="062A6E6E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Model</w:t>
      </w:r>
      <w:r>
        <w:rPr>
          <w:rFonts w:ascii="Century Gothic" w:hAnsi="Century Gothic" w:cs="Leelawadee UI"/>
        </w:rPr>
        <w:t>, si occupa di gestire i dati persistenti. Contiene infatti metodi di lettura e scrittura su Database.</w:t>
      </w:r>
      <w:r w:rsidR="00573E04">
        <w:rPr>
          <w:rFonts w:ascii="Century Gothic" w:hAnsi="Century Gothic" w:cs="Leelawadee UI"/>
        </w:rPr>
        <w:t xml:space="preserve"> (javaBean)</w:t>
      </w:r>
    </w:p>
    <w:p w14:paraId="09A68F3F" w14:textId="4A4B5DBD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View</w:t>
      </w:r>
      <w:r>
        <w:rPr>
          <w:rFonts w:ascii="Century Gothic" w:hAnsi="Century Gothic" w:cs="Leelawadee UI"/>
        </w:rPr>
        <w:t>, si occupa di far visualizzare i dati all’utente e si occupa dell’iterazione tra quest’ultimo e il sistema.</w:t>
      </w:r>
      <w:r w:rsidR="00573E04">
        <w:rPr>
          <w:rFonts w:ascii="Century Gothic" w:hAnsi="Century Gothic" w:cs="Leelawadee UI"/>
        </w:rPr>
        <w:t xml:space="preserve"> (JSP)</w:t>
      </w:r>
    </w:p>
    <w:p w14:paraId="168720A1" w14:textId="5E9D2DC7" w:rsidR="00C375D2" w:rsidRPr="00104043" w:rsidRDefault="00550F45" w:rsidP="00104043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Controller</w:t>
      </w:r>
      <w:r>
        <w:rPr>
          <w:rFonts w:ascii="Century Gothic" w:hAnsi="Century Gothic" w:cs="Leelawadee UI"/>
        </w:rPr>
        <w:t xml:space="preserve"> riceve i comandi dell’utente attraverso le view e si occupa della logica d controllo dell’applicazione interagendo con le altre due componenti</w:t>
      </w:r>
      <w:r w:rsidR="00573E04">
        <w:rPr>
          <w:rFonts w:ascii="Century Gothic" w:hAnsi="Century Gothic" w:cs="Leelawadee UI"/>
        </w:rPr>
        <w:t>. (Servet)</w:t>
      </w:r>
    </w:p>
    <w:p w14:paraId="3109373D" w14:textId="12A6FBD7" w:rsidR="004101E3" w:rsidRDefault="00E172EA" w:rsidP="00104043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037E4BB5" w14:textId="70B9600E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sottosistema </w:t>
      </w:r>
      <w:r w:rsidR="00C375D2" w:rsidRPr="002C2DB5">
        <w:rPr>
          <w:rFonts w:ascii="Century Gothic" w:hAnsi="Century Gothic" w:cs="Leelawadee UI"/>
        </w:rPr>
        <w:t>View</w:t>
      </w:r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4. Sottosistema Gestore: include le interfacce accessibile al supervisore per verifica dei corsi creati dagli insegnanti del sistema. </w:t>
      </w:r>
    </w:p>
    <w:p w14:paraId="3FD25374" w14:textId="733F7C35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Il sottosistema </w:t>
      </w:r>
      <w:r w:rsidR="00104043">
        <w:rPr>
          <w:rFonts w:ascii="Century Gothic" w:hAnsi="Century Gothic" w:cs="Leelawadee UI"/>
        </w:rPr>
        <w:t xml:space="preserve">Control </w:t>
      </w:r>
      <w:r w:rsidRPr="002C2DB5">
        <w:rPr>
          <w:rFonts w:ascii="Century Gothic" w:hAnsi="Century Gothic" w:cs="Leelawadee UI"/>
        </w:rPr>
        <w:t>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298ADACF" w14:textId="658CFBE1" w:rsidR="00511105" w:rsidRDefault="00E172EA" w:rsidP="00104043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 xml:space="preserve"> 5. Sottosistema Gestione E-mail: include le operazioni per l’invio di e-mail di notifica agli utenti del sistema </w:t>
      </w:r>
    </w:p>
    <w:p w14:paraId="7E59AB9A" w14:textId="77777777" w:rsidR="004101E3" w:rsidRPr="002C2DB5" w:rsidRDefault="004101E3" w:rsidP="00590F31">
      <w:pPr>
        <w:jc w:val="both"/>
        <w:rPr>
          <w:rFonts w:ascii="Century Gothic" w:hAnsi="Century Gothic" w:cs="Leelawadee UI"/>
        </w:rPr>
      </w:pPr>
    </w:p>
    <w:p w14:paraId="7C158078" w14:textId="1D2FAB5C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1" w:name="_Toc26267046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Mapping hardware/software</w:t>
      </w:r>
      <w:bookmarkEnd w:id="21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7B4CB771" w14:textId="77777777" w:rsidR="00590F31" w:rsidRDefault="00590F31" w:rsidP="00590F31">
      <w:pPr>
        <w:ind w:firstLine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</w:t>
      </w:r>
      <w:r w:rsidR="00673544" w:rsidRPr="00590F31">
        <w:rPr>
          <w:rFonts w:ascii="Century Gothic" w:hAnsi="Century Gothic" w:cs="Leelawadee UI"/>
        </w:rPr>
        <w:t xml:space="preserve">l </w:t>
      </w:r>
      <w:r>
        <w:rPr>
          <w:rFonts w:ascii="Century Gothic" w:hAnsi="Century Gothic" w:cs="Leelawadee UI"/>
        </w:rPr>
        <w:t>S</w:t>
      </w:r>
      <w:r w:rsidR="00673544" w:rsidRPr="00590F31">
        <w:rPr>
          <w:rFonts w:ascii="Century Gothic" w:hAnsi="Century Gothic" w:cs="Leelawadee UI"/>
        </w:rPr>
        <w:t>istema</w:t>
      </w:r>
      <w:r>
        <w:rPr>
          <w:rFonts w:ascii="Century Gothic" w:hAnsi="Century Gothic" w:cs="Leelawadee UI"/>
        </w:rPr>
        <w:t xml:space="preserve"> StudyMe utilizzerà un’architettura Client/Server. </w:t>
      </w:r>
    </w:p>
    <w:p w14:paraId="49E6B5B8" w14:textId="4CE4C926" w:rsidR="00673544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Come server è stato scelto Apache Tomcat. Per quanto riguarda il DBMS, la scelta è ricaduta su    MySQL, essendo esso open-source e largamente diffuso.</w:t>
      </w:r>
    </w:p>
    <w:p w14:paraId="00058D20" w14:textId="17929A85" w:rsidR="00590F31" w:rsidRPr="00590F31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 vari client saranno infine rappresentati da i vari dispositivi attraverso cui l’utente utilizzera il sistema. Essi potranno essere un semplice pc, uno smartphone, un tablet, una smart tv o un qualsiasi dispositivo che abbia accesso ad internet mediante un web browser.</w:t>
      </w:r>
    </w:p>
    <w:p w14:paraId="27833003" w14:textId="0EA220A1" w:rsidR="00673544" w:rsidRPr="002C2DB5" w:rsidRDefault="003B6E7E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7CCA6713" wp14:editId="6BCFE60D">
            <wp:extent cx="6645910" cy="3348990"/>
            <wp:effectExtent l="0" t="0" r="254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5D" w14:textId="59A90942" w:rsidR="00590F31" w:rsidRDefault="00590F31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2" w:name="_Toc26267047"/>
    </w:p>
    <w:p w14:paraId="3AA5D552" w14:textId="3D17EB42" w:rsidR="00DD14A9" w:rsidRPr="002C2DB5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3.</w:t>
      </w:r>
      <w:r w:rsidR="00536942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22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Di seguito verrà illustrato il diagramma delle classi composto dagli entity che ci porterà alla progettazione di un database relazionale.</w:t>
      </w:r>
    </w:p>
    <w:p w14:paraId="0FC5D00B" w14:textId="2DD77553" w:rsidR="005F0B44" w:rsidRPr="002C2DB5" w:rsidRDefault="00590F31" w:rsidP="00B244BC">
      <w:pPr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  <w:noProof/>
        </w:rPr>
        <w:lastRenderedPageBreak/>
        <w:drawing>
          <wp:inline distT="0" distB="0" distL="0" distR="0" wp14:anchorId="3DBCB8B6" wp14:editId="5A94F407">
            <wp:extent cx="6645910" cy="3330575"/>
            <wp:effectExtent l="0" t="0" r="2540" b="317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3B0" w14:textId="7C39BAAF" w:rsidR="00DD0F25" w:rsidRPr="002C2DB5" w:rsidRDefault="00DD0F25" w:rsidP="00B244BC">
      <w:pPr>
        <w:jc w:val="both"/>
        <w:rPr>
          <w:rFonts w:ascii="Century Gothic" w:hAnsi="Century Gothic" w:cs="Leelawadee UI"/>
        </w:rPr>
      </w:pP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8F10C6">
        <w:tc>
          <w:tcPr>
            <w:tcW w:w="2794" w:type="dxa"/>
          </w:tcPr>
          <w:p w14:paraId="3D0DA09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78" w:type="dxa"/>
          </w:tcPr>
          <w:p w14:paraId="4ED79C9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409F733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78" w:type="dxa"/>
          </w:tcPr>
          <w:p w14:paraId="4013284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  <w:proofErr w:type="gramEnd"/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703820E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555A78">
        <w:tc>
          <w:tcPr>
            <w:tcW w:w="2789" w:type="dxa"/>
          </w:tcPr>
          <w:p w14:paraId="73734308" w14:textId="42949888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82" w:type="dxa"/>
          </w:tcPr>
          <w:p w14:paraId="27DF79C7" w14:textId="5C97C045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81" w:type="dxa"/>
          </w:tcPr>
          <w:p w14:paraId="434F821D" w14:textId="6488C336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81" w:type="dxa"/>
          </w:tcPr>
          <w:p w14:paraId="5C3F5C90" w14:textId="09996AED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SottoCategoria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BB7DA8">
        <w:tc>
          <w:tcPr>
            <w:tcW w:w="2830" w:type="dxa"/>
          </w:tcPr>
          <w:p w14:paraId="0B809895" w14:textId="50AD3E1A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F6A4E70" w14:textId="7160401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0C501561" w14:textId="0C9038CC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750D2EC" w14:textId="3434368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25FD9434" w14:textId="7F5827B6" w:rsidR="00BB7DA8" w:rsidRPr="002C2DB5" w:rsidRDefault="00BB7DA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3F87B95" w14:textId="7B07DA60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555A78">
        <w:tc>
          <w:tcPr>
            <w:tcW w:w="2830" w:type="dxa"/>
          </w:tcPr>
          <w:p w14:paraId="28433D7E" w14:textId="4E3D3E4C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369AE0A4" w14:textId="578BF911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6EA8D38F" w14:textId="554FBBE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5DC908F0" w14:textId="56D29F2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</w:t>
            </w:r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7B59EA1B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4C7F5BF0" w14:textId="3A5110C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“false”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38331F4" w14:textId="016FC9CF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lastRenderedPageBreak/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E81C7B">
        <w:tc>
          <w:tcPr>
            <w:tcW w:w="2830" w:type="dxa"/>
          </w:tcPr>
          <w:p w14:paraId="3098C24C" w14:textId="1A629BD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6F62B593" w14:textId="41830A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38DCABAF" w14:textId="248F8C7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04B325FB" w14:textId="161DC583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37A5E90F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54ECA5C3" w14:textId="72EAB465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“false”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2C4072">
        <w:tc>
          <w:tcPr>
            <w:tcW w:w="2830" w:type="dxa"/>
          </w:tcPr>
          <w:p w14:paraId="5CE86FF7" w14:textId="12CE882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1985" w:type="dxa"/>
          </w:tcPr>
          <w:p w14:paraId="5C1C3357" w14:textId="6DCEC681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551" w:type="dxa"/>
          </w:tcPr>
          <w:p w14:paraId="40EA7DED" w14:textId="7618109D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EEDC775" w14:textId="58F7CB6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551" w:type="dxa"/>
          </w:tcPr>
          <w:p w14:paraId="5E2AAD1C" w14:textId="5E2E978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2C4072">
        <w:tc>
          <w:tcPr>
            <w:tcW w:w="2407" w:type="dxa"/>
          </w:tcPr>
          <w:p w14:paraId="5C37FA5F" w14:textId="522CE7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A8CE593" w14:textId="1D573B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3A503B27" w14:textId="0141013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2FA1F96" w14:textId="4AAFEA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35211353" w14:textId="6B1F1ED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null, auto_increment</w:t>
            </w:r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057871">
        <w:tc>
          <w:tcPr>
            <w:tcW w:w="2407" w:type="dxa"/>
          </w:tcPr>
          <w:p w14:paraId="68102F45" w14:textId="5F03927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4FF24960" w14:textId="44A2BF0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1CF5C384" w14:textId="07C171A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B5A580D" w14:textId="676620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121AF541" w14:textId="473FCCD3" w:rsidR="00057871" w:rsidRPr="002C2DB5" w:rsidRDefault="00057871" w:rsidP="003A2B2F">
            <w:pPr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  <w:bookmarkStart w:id="23" w:name="_GoBack"/>
            <w:bookmarkEnd w:id="23"/>
            <w:r w:rsidRPr="002C2DB5">
              <w:rPr>
                <w:rFonts w:ascii="Century Gothic" w:hAnsi="Century Gothic" w:cs="Leelawadee UI"/>
                <w:b/>
                <w:bCs/>
              </w:rPr>
              <w:t>, auto_increment</w:t>
            </w:r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E5110C7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A1C21A5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1DC1A63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0814B198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68D66C0D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55489DD1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0BD0FC2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CC84D9F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3D40C97E" w14:textId="30126563" w:rsidR="008642B2" w:rsidRPr="002C2DB5" w:rsidRDefault="008642B2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ab/>
      </w:r>
    </w:p>
    <w:p w14:paraId="591FD7B9" w14:textId="3950640E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4" w:name="_Toc26267048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24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tblInd w:w="-289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5E75B0" w:rsidRPr="002C2DB5" w14:paraId="2D9E3E5A" w14:textId="77777777" w:rsidTr="005E75B0">
        <w:tc>
          <w:tcPr>
            <w:tcW w:w="1382" w:type="dxa"/>
          </w:tcPr>
          <w:p w14:paraId="6CB4EAFB" w14:textId="77777777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2845" w:type="dxa"/>
          </w:tcPr>
          <w:p w14:paraId="73A78934" w14:textId="778DF7BA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Acquirente</w:t>
            </w:r>
          </w:p>
        </w:tc>
        <w:tc>
          <w:tcPr>
            <w:tcW w:w="2845" w:type="dxa"/>
          </w:tcPr>
          <w:p w14:paraId="7D4790FD" w14:textId="0FD9B352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Insegnante</w:t>
            </w:r>
          </w:p>
        </w:tc>
        <w:tc>
          <w:tcPr>
            <w:tcW w:w="2845" w:type="dxa"/>
          </w:tcPr>
          <w:p w14:paraId="3D9238EA" w14:textId="57E2EDCB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Gestore</w:t>
            </w:r>
          </w:p>
        </w:tc>
      </w:tr>
      <w:tr w:rsidR="005E75B0" w:rsidRPr="002C2DB5" w14:paraId="627D8583" w14:textId="77777777" w:rsidTr="005E75B0">
        <w:tc>
          <w:tcPr>
            <w:tcW w:w="1382" w:type="dxa"/>
          </w:tcPr>
          <w:p w14:paraId="2ACAD844" w14:textId="267FC324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5E75B0">
        <w:tc>
          <w:tcPr>
            <w:tcW w:w="1382" w:type="dxa"/>
          </w:tcPr>
          <w:p w14:paraId="0477D62C" w14:textId="1C5BF72C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5E75B0">
        <w:tc>
          <w:tcPr>
            <w:tcW w:w="1382" w:type="dxa"/>
          </w:tcPr>
          <w:p w14:paraId="23ECB4E6" w14:textId="65D8DCD6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2C2DB5" w:rsidRDefault="005E75B0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p w14:paraId="49BEEAF7" w14:textId="544C27A6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5" w:name="_Toc26267049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25"/>
    </w:p>
    <w:p w14:paraId="4676BD62" w14:textId="3978E059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Il sistema ha un flusso guidato di eventi, le funzionalità richiedonoun’interazione continua da parte dell’utente; per questo motivo, il controllo del flusso globale che utilizziamo è di tipo procedure-driven.</w:t>
      </w:r>
    </w:p>
    <w:p w14:paraId="137A2147" w14:textId="536F8AA1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6" w:name="_Toc26267050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 Condition</w:t>
      </w:r>
      <w:bookmarkEnd w:id="26"/>
    </w:p>
    <w:p w14:paraId="2E2F4F8F" w14:textId="79261B63" w:rsidR="00896BEC" w:rsidRPr="002C2DB5" w:rsidRDefault="00896BEC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4101E3">
        <w:tc>
          <w:tcPr>
            <w:tcW w:w="4814" w:type="dxa"/>
          </w:tcPr>
          <w:p w14:paraId="680BD9D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UC_Avvio</w:t>
            </w:r>
          </w:p>
        </w:tc>
      </w:tr>
      <w:tr w:rsidR="00896BEC" w:rsidRPr="002C2DB5" w14:paraId="4C287B2E" w14:textId="77777777" w:rsidTr="004101E3">
        <w:tc>
          <w:tcPr>
            <w:tcW w:w="4814" w:type="dxa"/>
          </w:tcPr>
          <w:p w14:paraId="3BAB185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4101E3">
        <w:tc>
          <w:tcPr>
            <w:tcW w:w="4814" w:type="dxa"/>
          </w:tcPr>
          <w:p w14:paraId="480A620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4101E3">
        <w:tc>
          <w:tcPr>
            <w:tcW w:w="4814" w:type="dxa"/>
          </w:tcPr>
          <w:p w14:paraId="4F46482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4101E3">
        <w:tc>
          <w:tcPr>
            <w:tcW w:w="4814" w:type="dxa"/>
          </w:tcPr>
          <w:p w14:paraId="699FB33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4101E3">
        <w:tc>
          <w:tcPr>
            <w:tcW w:w="4814" w:type="dxa"/>
          </w:tcPr>
          <w:p w14:paraId="2C1DF33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4101E3">
        <w:trPr>
          <w:trHeight w:val="356"/>
        </w:trPr>
        <w:tc>
          <w:tcPr>
            <w:tcW w:w="4814" w:type="dxa"/>
          </w:tcPr>
          <w:p w14:paraId="33F305F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4101E3">
        <w:trPr>
          <w:trHeight w:val="302"/>
          <w:jc w:val="center"/>
        </w:trPr>
        <w:tc>
          <w:tcPr>
            <w:tcW w:w="5571" w:type="dxa"/>
          </w:tcPr>
          <w:p w14:paraId="0B07C80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UC_Spegnimento</w:t>
            </w:r>
          </w:p>
        </w:tc>
      </w:tr>
      <w:tr w:rsidR="00896BEC" w:rsidRPr="002C2DB5" w14:paraId="46FF8144" w14:textId="77777777" w:rsidTr="004101E3">
        <w:trPr>
          <w:trHeight w:val="302"/>
          <w:jc w:val="center"/>
        </w:trPr>
        <w:tc>
          <w:tcPr>
            <w:tcW w:w="5571" w:type="dxa"/>
          </w:tcPr>
          <w:p w14:paraId="3D4FDB6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4101E3">
        <w:trPr>
          <w:trHeight w:val="302"/>
          <w:jc w:val="center"/>
        </w:trPr>
        <w:tc>
          <w:tcPr>
            <w:tcW w:w="5571" w:type="dxa"/>
          </w:tcPr>
          <w:p w14:paraId="530EDD9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4101E3">
        <w:trPr>
          <w:trHeight w:val="302"/>
          <w:jc w:val="center"/>
        </w:trPr>
        <w:tc>
          <w:tcPr>
            <w:tcW w:w="5571" w:type="dxa"/>
          </w:tcPr>
          <w:p w14:paraId="3F47AE5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4101E3">
        <w:trPr>
          <w:trHeight w:val="605"/>
          <w:jc w:val="center"/>
        </w:trPr>
        <w:tc>
          <w:tcPr>
            <w:tcW w:w="5571" w:type="dxa"/>
          </w:tcPr>
          <w:p w14:paraId="01D7C04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4101E3">
        <w:trPr>
          <w:trHeight w:val="280"/>
          <w:jc w:val="center"/>
        </w:trPr>
        <w:tc>
          <w:tcPr>
            <w:tcW w:w="5571" w:type="dxa"/>
          </w:tcPr>
          <w:p w14:paraId="02E7C75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Il sistema effettua una scansione per verificare che non ci siano richieste in attesa, se vi sono, porta </w:t>
            </w:r>
            <w:proofErr w:type="gramStart"/>
            <w:r w:rsidRPr="002C2DB5">
              <w:rPr>
                <w:rFonts w:ascii="Century Gothic" w:hAnsi="Century Gothic" w:cs="Leelawadee UI"/>
              </w:rPr>
              <w:t>a  termina</w:t>
            </w:r>
            <w:proofErr w:type="gramEnd"/>
            <w:r w:rsidRPr="002C2DB5">
              <w:rPr>
                <w:rFonts w:ascii="Century Gothic" w:hAnsi="Century Gothic" w:cs="Leelawadee UI"/>
              </w:rPr>
              <w:t xml:space="preserve">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4101E3">
        <w:trPr>
          <w:trHeight w:val="280"/>
          <w:jc w:val="center"/>
        </w:trPr>
        <w:tc>
          <w:tcPr>
            <w:tcW w:w="5571" w:type="dxa"/>
          </w:tcPr>
          <w:p w14:paraId="278E783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2C2DB5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7" w:name="_Toc26267051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Glossario dei servizi del sottosistema</w:t>
      </w:r>
      <w:bookmarkEnd w:id="27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>pagamento, per acquistare un pacchetto, nel sistema di occupa interamente paypal.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lezioni</w:t>
      </w:r>
      <w:r w:rsidRPr="002C2DB5">
        <w:rPr>
          <w:rFonts w:ascii="Century Gothic" w:hAnsi="Century Gothic" w:cs="Leelawadee UI"/>
        </w:rPr>
        <w:t>: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b/>
          <w:bCs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Logout: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 xml:space="preserve">: Permette a un utente la modifica del proprio </w:t>
      </w:r>
      <w:proofErr w:type="gramStart"/>
      <w:r w:rsidRPr="002C2DB5">
        <w:rPr>
          <w:rFonts w:ascii="Century Gothic" w:hAnsi="Century Gothic" w:cs="Leelawadee UI"/>
          <w:sz w:val="24"/>
          <w:szCs w:val="24"/>
        </w:rPr>
        <w:t>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</w:t>
      </w:r>
      <w:proofErr w:type="gramEnd"/>
      <w:r w:rsidRPr="002C2DB5">
        <w:rPr>
          <w:rFonts w:ascii="Century Gothic" w:hAnsi="Century Gothic" w:cs="Leelawadee UI"/>
          <w:sz w:val="24"/>
          <w:szCs w:val="24"/>
        </w:rPr>
        <w:t>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Pagamento</w:t>
      </w:r>
      <w:r w:rsidRPr="002C2DB5">
        <w:rPr>
          <w:rFonts w:ascii="Century Gothic" w:hAnsi="Century Gothic" w:cs="Leelawadee UI"/>
        </w:rPr>
        <w:t>: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RecuperoPassword</w:t>
      </w:r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AvvertenzaRifiuto</w:t>
      </w:r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4A50" w14:textId="77777777" w:rsidR="00AF1183" w:rsidRDefault="00AF1183" w:rsidP="00B20655">
      <w:pPr>
        <w:spacing w:after="0" w:line="240" w:lineRule="auto"/>
      </w:pPr>
      <w:r>
        <w:separator/>
      </w:r>
    </w:p>
  </w:endnote>
  <w:endnote w:type="continuationSeparator" w:id="0">
    <w:p w14:paraId="2136041E" w14:textId="77777777" w:rsidR="00AF1183" w:rsidRDefault="00AF1183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80AD" w14:textId="77777777" w:rsidR="00AF1183" w:rsidRDefault="00AF1183" w:rsidP="00B20655">
      <w:pPr>
        <w:spacing w:after="0" w:line="240" w:lineRule="auto"/>
      </w:pPr>
      <w:r>
        <w:separator/>
      </w:r>
    </w:p>
  </w:footnote>
  <w:footnote w:type="continuationSeparator" w:id="0">
    <w:p w14:paraId="53F9D460" w14:textId="77777777" w:rsidR="00AF1183" w:rsidRDefault="00AF1183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5pt;height:10.85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A2C4D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8A00BA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53"/>
    <w:rsid w:val="000228B1"/>
    <w:rsid w:val="00035A70"/>
    <w:rsid w:val="00057871"/>
    <w:rsid w:val="00075231"/>
    <w:rsid w:val="000811EB"/>
    <w:rsid w:val="000A2FA6"/>
    <w:rsid w:val="000A342B"/>
    <w:rsid w:val="000A5507"/>
    <w:rsid w:val="000A5983"/>
    <w:rsid w:val="000C6D20"/>
    <w:rsid w:val="00104043"/>
    <w:rsid w:val="00113B94"/>
    <w:rsid w:val="00130AE5"/>
    <w:rsid w:val="00131814"/>
    <w:rsid w:val="00131BEF"/>
    <w:rsid w:val="001327EE"/>
    <w:rsid w:val="00132FF7"/>
    <w:rsid w:val="001625A2"/>
    <w:rsid w:val="00185A56"/>
    <w:rsid w:val="001A68BA"/>
    <w:rsid w:val="001B5CAF"/>
    <w:rsid w:val="001B79D7"/>
    <w:rsid w:val="001D2BE4"/>
    <w:rsid w:val="001D6F4B"/>
    <w:rsid w:val="0023140F"/>
    <w:rsid w:val="00266E84"/>
    <w:rsid w:val="0029544A"/>
    <w:rsid w:val="002A4B18"/>
    <w:rsid w:val="002C19B6"/>
    <w:rsid w:val="002C2DB5"/>
    <w:rsid w:val="002C4072"/>
    <w:rsid w:val="002D327C"/>
    <w:rsid w:val="002D3F46"/>
    <w:rsid w:val="0034086F"/>
    <w:rsid w:val="003450F9"/>
    <w:rsid w:val="003551FA"/>
    <w:rsid w:val="003A2B2F"/>
    <w:rsid w:val="003B058F"/>
    <w:rsid w:val="003B6E7E"/>
    <w:rsid w:val="003D748B"/>
    <w:rsid w:val="003F5394"/>
    <w:rsid w:val="003F6544"/>
    <w:rsid w:val="004101E3"/>
    <w:rsid w:val="00417CDE"/>
    <w:rsid w:val="00455703"/>
    <w:rsid w:val="00481F3F"/>
    <w:rsid w:val="004830F8"/>
    <w:rsid w:val="004D20DD"/>
    <w:rsid w:val="004E10C7"/>
    <w:rsid w:val="004E3D3D"/>
    <w:rsid w:val="0050472C"/>
    <w:rsid w:val="00511105"/>
    <w:rsid w:val="00516E53"/>
    <w:rsid w:val="00525F01"/>
    <w:rsid w:val="00536942"/>
    <w:rsid w:val="00550F45"/>
    <w:rsid w:val="00555A78"/>
    <w:rsid w:val="00557EC3"/>
    <w:rsid w:val="00573E04"/>
    <w:rsid w:val="00587170"/>
    <w:rsid w:val="00590F31"/>
    <w:rsid w:val="005A5D63"/>
    <w:rsid w:val="005B11E2"/>
    <w:rsid w:val="005B7200"/>
    <w:rsid w:val="005C1F02"/>
    <w:rsid w:val="005D01BC"/>
    <w:rsid w:val="005E75B0"/>
    <w:rsid w:val="005E76C0"/>
    <w:rsid w:val="005F0B44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140CE"/>
    <w:rsid w:val="00784A4F"/>
    <w:rsid w:val="00790B04"/>
    <w:rsid w:val="007A3355"/>
    <w:rsid w:val="007B3953"/>
    <w:rsid w:val="007C7F6E"/>
    <w:rsid w:val="00803D5A"/>
    <w:rsid w:val="00806BDD"/>
    <w:rsid w:val="008230B0"/>
    <w:rsid w:val="00846964"/>
    <w:rsid w:val="008642B2"/>
    <w:rsid w:val="00877CF5"/>
    <w:rsid w:val="00887CBC"/>
    <w:rsid w:val="00896BEC"/>
    <w:rsid w:val="00897F3E"/>
    <w:rsid w:val="008A33E1"/>
    <w:rsid w:val="008A4335"/>
    <w:rsid w:val="008A53AC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B6A0D"/>
    <w:rsid w:val="009E0C09"/>
    <w:rsid w:val="009F4916"/>
    <w:rsid w:val="00A07AD1"/>
    <w:rsid w:val="00A1558A"/>
    <w:rsid w:val="00A45E0B"/>
    <w:rsid w:val="00A60A7D"/>
    <w:rsid w:val="00A9794D"/>
    <w:rsid w:val="00AA52D1"/>
    <w:rsid w:val="00AB0B4B"/>
    <w:rsid w:val="00AE3FF0"/>
    <w:rsid w:val="00AF0C22"/>
    <w:rsid w:val="00AF1183"/>
    <w:rsid w:val="00AF5ACB"/>
    <w:rsid w:val="00B01FBB"/>
    <w:rsid w:val="00B1455A"/>
    <w:rsid w:val="00B20655"/>
    <w:rsid w:val="00B244BC"/>
    <w:rsid w:val="00B41467"/>
    <w:rsid w:val="00B43FE7"/>
    <w:rsid w:val="00B55D53"/>
    <w:rsid w:val="00B61071"/>
    <w:rsid w:val="00B90275"/>
    <w:rsid w:val="00BB1829"/>
    <w:rsid w:val="00BB7DA8"/>
    <w:rsid w:val="00BC1CD1"/>
    <w:rsid w:val="00BD2F53"/>
    <w:rsid w:val="00BD6CB0"/>
    <w:rsid w:val="00BF03A7"/>
    <w:rsid w:val="00C375D2"/>
    <w:rsid w:val="00C50D97"/>
    <w:rsid w:val="00C54B7D"/>
    <w:rsid w:val="00C65847"/>
    <w:rsid w:val="00C846AD"/>
    <w:rsid w:val="00C964FF"/>
    <w:rsid w:val="00CA7D0A"/>
    <w:rsid w:val="00CB0351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8529A"/>
    <w:rsid w:val="00D8543B"/>
    <w:rsid w:val="00D9012B"/>
    <w:rsid w:val="00DA1F6D"/>
    <w:rsid w:val="00DA26CF"/>
    <w:rsid w:val="00DA2D07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529AF"/>
    <w:rsid w:val="00E81C7B"/>
    <w:rsid w:val="00E968C6"/>
    <w:rsid w:val="00E97DD2"/>
    <w:rsid w:val="00EA0DDF"/>
    <w:rsid w:val="00EA1924"/>
    <w:rsid w:val="00EC7EDE"/>
    <w:rsid w:val="00EE39A4"/>
    <w:rsid w:val="00EE703E"/>
    <w:rsid w:val="00EF3EE6"/>
    <w:rsid w:val="00F176F1"/>
    <w:rsid w:val="00F1791A"/>
    <w:rsid w:val="00F3341E"/>
    <w:rsid w:val="00F46753"/>
    <w:rsid w:val="00F86901"/>
    <w:rsid w:val="00F96168"/>
    <w:rsid w:val="00FB389B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2F91-28F3-46C6-AB08-3E264ED64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10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131</cp:revision>
  <dcterms:created xsi:type="dcterms:W3CDTF">2019-10-22T13:14:00Z</dcterms:created>
  <dcterms:modified xsi:type="dcterms:W3CDTF">2019-12-12T09:54:00Z</dcterms:modified>
</cp:coreProperties>
</file>