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9805" w14:textId="77777777" w:rsidR="002F1769" w:rsidRPr="002F1769" w:rsidRDefault="002F1769" w:rsidP="002F1769">
      <w:pPr>
        <w:jc w:val="center"/>
        <w:rPr>
          <w:b/>
          <w:bCs/>
        </w:rPr>
      </w:pPr>
      <w:r w:rsidRPr="002F1769">
        <w:rPr>
          <w:sz w:val="96"/>
          <w:szCs w:val="96"/>
          <w:lang w:val="en-US"/>
        </w:rPr>
        <w:t xml:space="preserve">Storage </w:t>
      </w:r>
      <w:r>
        <w:rPr>
          <w:lang w:val="en-US"/>
        </w:rPr>
        <w:br/>
      </w:r>
      <w:r>
        <w:rPr>
          <w:lang w:val="en-US"/>
        </w:rPr>
        <w:br/>
      </w:r>
      <w:r>
        <w:rPr>
          <w:lang w:val="en-US"/>
        </w:rPr>
        <w:br/>
      </w:r>
      <w:r w:rsidRPr="002F1769">
        <w:rPr>
          <w:b/>
          <w:bCs/>
        </w:rPr>
        <w:t>The Strategic Architecture of North American Energy Storage: A Technical and Geopolitical Analysis of Continental Hubs</w:t>
      </w:r>
    </w:p>
    <w:p w14:paraId="7E58C7E9" w14:textId="77777777" w:rsidR="002F1769" w:rsidRPr="002F1769" w:rsidRDefault="002F1769" w:rsidP="002F1769">
      <w:r w:rsidRPr="002F1769">
        <w:t xml:space="preserve">The reliability and economic efficiency of the North American energy landscape are fundamentally predicated on a vast, interconnected network of storage facilities. These assets serve as the critical dampening mechanism for the inherent volatility of supply and demand cycles, ensuring that the continuous production of the Western Canadian Sedimentary Basin (WCSB) and the unconventional shale </w:t>
      </w:r>
      <w:proofErr w:type="gramStart"/>
      <w:r w:rsidRPr="002F1769">
        <w:t>plays</w:t>
      </w:r>
      <w:proofErr w:type="gramEnd"/>
      <w:r w:rsidRPr="002F1769">
        <w:t xml:space="preserve"> of the United States can meet the precise, fluctuating needs of refineries and end-use consumers. As the energy transition accelerates, the role of these storage hubs is evolving from traditional hydrocarbon buffers to multi-commodity energy complexes, integrating low-carbon hydrogen and sophisticated carbon sequestration protocols into established midstream frameworks. The integrated nature of the North American grid means that a disruption at a single storage node in Alberta or Oklahoma can have cascading effects on consumer prices and industrial stability across the continent.   </w:t>
      </w:r>
    </w:p>
    <w:p w14:paraId="2EFA3C84" w14:textId="77777777" w:rsidR="002F1769" w:rsidRPr="002F1769" w:rsidRDefault="002F1769" w:rsidP="002F1769">
      <w:pPr>
        <w:rPr>
          <w:b/>
          <w:bCs/>
        </w:rPr>
      </w:pPr>
      <w:r w:rsidRPr="002F1769">
        <w:rPr>
          <w:b/>
          <w:bCs/>
        </w:rPr>
        <w:t>The Hardisty Crude Oil Hub: Central Nervous System of the WCSB</w:t>
      </w:r>
    </w:p>
    <w:p w14:paraId="50F06BFE" w14:textId="77777777" w:rsidR="002F1769" w:rsidRPr="002F1769" w:rsidRDefault="002F1769" w:rsidP="002F1769">
      <w:r w:rsidRPr="002F1769">
        <w:t>Hardisty, Alberta, represents the most significant terrestrial nexus for liquid hydrocarbon logistics in North America. Situated at the junction of the Athabasca oil sands production region and the primary export pipelines heading to the United States and Eastern Canada, the Hardisty complex functions as the clearinghouse for Western Canadian Select (WCS). The terminal infrastructure at Hardisty is not merely a collection of storage tanks but a sophisticated blending and quality-control environment where various grades of heavy, synthetic, and light crude are homogenized to meet the rigid specifications required by downstream refineries.   </w:t>
      </w:r>
    </w:p>
    <w:p w14:paraId="326BD986" w14:textId="77777777" w:rsidR="002F1769" w:rsidRPr="002F1769" w:rsidRDefault="002F1769" w:rsidP="002F1769">
      <w:pPr>
        <w:rPr>
          <w:b/>
          <w:bCs/>
        </w:rPr>
      </w:pPr>
      <w:r w:rsidRPr="002F1769">
        <w:rPr>
          <w:b/>
          <w:bCs/>
        </w:rPr>
        <w:t>Terminal Infrastructure and Operator Specifications</w:t>
      </w:r>
    </w:p>
    <w:p w14:paraId="6E84B2E2" w14:textId="77777777" w:rsidR="002F1769" w:rsidRPr="002F1769" w:rsidRDefault="002F1769" w:rsidP="002F1769">
      <w:r w:rsidRPr="002F1769">
        <w:t>The Hardisty complex is comprised of several distinct terminal facilities operated by major midstream entities. Each terminal offers specialized services ranging from unit train loading to high-throughput pipeline injections. The physical footprint covers over 1,000 acres, housing dozens of above-ground tanks and underground caverns.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918"/>
        <w:gridCol w:w="3188"/>
        <w:gridCol w:w="3199"/>
        <w:gridCol w:w="6085"/>
      </w:tblGrid>
      <w:tr w:rsidR="002F1769" w:rsidRPr="002F1769" w14:paraId="7CDBE7A9" w14:textId="77777777">
        <w:trPr>
          <w:tblHeader/>
          <w:tblCellSpacing w:w="15" w:type="dxa"/>
        </w:trPr>
        <w:tc>
          <w:tcPr>
            <w:tcW w:w="0" w:type="auto"/>
            <w:shd w:val="clear" w:color="auto" w:fill="282A2C"/>
            <w:tcMar>
              <w:top w:w="120" w:type="dxa"/>
              <w:left w:w="180" w:type="dxa"/>
              <w:bottom w:w="120" w:type="dxa"/>
              <w:right w:w="180" w:type="dxa"/>
            </w:tcMar>
            <w:hideMark/>
          </w:tcPr>
          <w:p w14:paraId="73CF73B2" w14:textId="77777777" w:rsidR="002F1769" w:rsidRPr="002F1769" w:rsidRDefault="002F1769" w:rsidP="002F1769">
            <w:r w:rsidRPr="002F1769">
              <w:t>Terminal Operator</w:t>
            </w:r>
          </w:p>
        </w:tc>
        <w:tc>
          <w:tcPr>
            <w:tcW w:w="0" w:type="auto"/>
            <w:shd w:val="clear" w:color="auto" w:fill="282A2C"/>
            <w:tcMar>
              <w:top w:w="120" w:type="dxa"/>
              <w:left w:w="180" w:type="dxa"/>
              <w:bottom w:w="120" w:type="dxa"/>
              <w:right w:w="180" w:type="dxa"/>
            </w:tcMar>
            <w:hideMark/>
          </w:tcPr>
          <w:p w14:paraId="78966D92" w14:textId="77777777" w:rsidR="002F1769" w:rsidRPr="002F1769" w:rsidRDefault="002F1769" w:rsidP="002F1769">
            <w:r w:rsidRPr="002F1769">
              <w:t>Storage Capacity (Barrels)</w:t>
            </w:r>
          </w:p>
        </w:tc>
        <w:tc>
          <w:tcPr>
            <w:tcW w:w="0" w:type="auto"/>
            <w:shd w:val="clear" w:color="auto" w:fill="282A2C"/>
            <w:tcMar>
              <w:top w:w="120" w:type="dxa"/>
              <w:left w:w="180" w:type="dxa"/>
              <w:bottom w:w="120" w:type="dxa"/>
              <w:right w:w="180" w:type="dxa"/>
            </w:tcMar>
            <w:hideMark/>
          </w:tcPr>
          <w:p w14:paraId="3DF66842" w14:textId="77777777" w:rsidR="002F1769" w:rsidRPr="002F1769" w:rsidRDefault="002F1769" w:rsidP="002F1769">
            <w:r w:rsidRPr="002F1769">
              <w:t>Number of Tanks/Caverns</w:t>
            </w:r>
          </w:p>
        </w:tc>
        <w:tc>
          <w:tcPr>
            <w:tcW w:w="0" w:type="auto"/>
            <w:shd w:val="clear" w:color="auto" w:fill="282A2C"/>
            <w:tcMar>
              <w:top w:w="120" w:type="dxa"/>
              <w:left w:w="180" w:type="dxa"/>
              <w:bottom w:w="120" w:type="dxa"/>
              <w:right w:w="180" w:type="dxa"/>
            </w:tcMar>
            <w:hideMark/>
          </w:tcPr>
          <w:p w14:paraId="310A8D4F" w14:textId="77777777" w:rsidR="002F1769" w:rsidRPr="002F1769" w:rsidRDefault="002F1769" w:rsidP="002F1769">
            <w:r w:rsidRPr="002F1769">
              <w:t>Key Infrastructure Features</w:t>
            </w:r>
          </w:p>
        </w:tc>
      </w:tr>
      <w:tr w:rsidR="002F1769" w:rsidRPr="002F1769" w14:paraId="2B90494E" w14:textId="77777777">
        <w:trPr>
          <w:tblCellSpacing w:w="15" w:type="dxa"/>
        </w:trPr>
        <w:tc>
          <w:tcPr>
            <w:tcW w:w="0" w:type="auto"/>
            <w:shd w:val="clear" w:color="auto" w:fill="1B1B1B"/>
            <w:tcMar>
              <w:top w:w="120" w:type="dxa"/>
              <w:left w:w="180" w:type="dxa"/>
              <w:bottom w:w="120" w:type="dxa"/>
              <w:right w:w="180" w:type="dxa"/>
            </w:tcMar>
            <w:hideMark/>
          </w:tcPr>
          <w:p w14:paraId="1B53480A" w14:textId="77777777" w:rsidR="002F1769" w:rsidRPr="002F1769" w:rsidRDefault="002F1769" w:rsidP="002F1769">
            <w:r w:rsidRPr="002F1769">
              <w:t>Enbridge Hardisty</w:t>
            </w:r>
          </w:p>
        </w:tc>
        <w:tc>
          <w:tcPr>
            <w:tcW w:w="0" w:type="auto"/>
            <w:shd w:val="clear" w:color="auto" w:fill="1B1B1B"/>
            <w:tcMar>
              <w:top w:w="120" w:type="dxa"/>
              <w:left w:w="180" w:type="dxa"/>
              <w:bottom w:w="120" w:type="dxa"/>
              <w:right w:w="180" w:type="dxa"/>
            </w:tcMar>
            <w:hideMark/>
          </w:tcPr>
          <w:p w14:paraId="64FF7508" w14:textId="77777777" w:rsidR="002F1769" w:rsidRPr="002F1769" w:rsidRDefault="002F1769" w:rsidP="002F1769">
            <w:r w:rsidRPr="002F1769">
              <w:t>~16,000,000</w:t>
            </w:r>
          </w:p>
        </w:tc>
        <w:tc>
          <w:tcPr>
            <w:tcW w:w="0" w:type="auto"/>
            <w:shd w:val="clear" w:color="auto" w:fill="1B1B1B"/>
            <w:tcMar>
              <w:top w:w="120" w:type="dxa"/>
              <w:left w:w="180" w:type="dxa"/>
              <w:bottom w:w="120" w:type="dxa"/>
              <w:right w:w="180" w:type="dxa"/>
            </w:tcMar>
            <w:hideMark/>
          </w:tcPr>
          <w:p w14:paraId="3739A619" w14:textId="77777777" w:rsidR="002F1769" w:rsidRPr="002F1769" w:rsidRDefault="002F1769" w:rsidP="002F1769">
            <w:r w:rsidRPr="002F1769">
              <w:t>38 tanks, 4 caverns</w:t>
            </w:r>
          </w:p>
        </w:tc>
        <w:tc>
          <w:tcPr>
            <w:tcW w:w="0" w:type="auto"/>
            <w:shd w:val="clear" w:color="auto" w:fill="1B1B1B"/>
            <w:tcMar>
              <w:top w:w="120" w:type="dxa"/>
              <w:left w:w="180" w:type="dxa"/>
              <w:bottom w:w="120" w:type="dxa"/>
              <w:right w:w="180" w:type="dxa"/>
            </w:tcMar>
            <w:hideMark/>
          </w:tcPr>
          <w:p w14:paraId="39A5E007" w14:textId="77777777" w:rsidR="002F1769" w:rsidRPr="002F1769" w:rsidRDefault="002F1769" w:rsidP="002F1769">
            <w:r w:rsidRPr="002F1769">
              <w:t xml:space="preserve">Connections to Mainline, Express, and Line 3/93 </w:t>
            </w:r>
          </w:p>
        </w:tc>
      </w:tr>
      <w:tr w:rsidR="002F1769" w:rsidRPr="002F1769" w14:paraId="65CD4715" w14:textId="77777777">
        <w:trPr>
          <w:tblCellSpacing w:w="15" w:type="dxa"/>
        </w:trPr>
        <w:tc>
          <w:tcPr>
            <w:tcW w:w="0" w:type="auto"/>
            <w:shd w:val="clear" w:color="auto" w:fill="1B1B1B"/>
            <w:tcMar>
              <w:top w:w="120" w:type="dxa"/>
              <w:left w:w="180" w:type="dxa"/>
              <w:bottom w:w="120" w:type="dxa"/>
              <w:right w:w="180" w:type="dxa"/>
            </w:tcMar>
            <w:hideMark/>
          </w:tcPr>
          <w:p w14:paraId="59590A3A" w14:textId="77777777" w:rsidR="002F1769" w:rsidRPr="002F1769" w:rsidRDefault="002F1769" w:rsidP="002F1769">
            <w:r w:rsidRPr="002F1769">
              <w:t>Gibson Hardisty</w:t>
            </w:r>
          </w:p>
        </w:tc>
        <w:tc>
          <w:tcPr>
            <w:tcW w:w="0" w:type="auto"/>
            <w:shd w:val="clear" w:color="auto" w:fill="1B1B1B"/>
            <w:tcMar>
              <w:top w:w="120" w:type="dxa"/>
              <w:left w:w="180" w:type="dxa"/>
              <w:bottom w:w="120" w:type="dxa"/>
              <w:right w:w="180" w:type="dxa"/>
            </w:tcMar>
            <w:hideMark/>
          </w:tcPr>
          <w:p w14:paraId="47EA4B8E" w14:textId="77777777" w:rsidR="002F1769" w:rsidRPr="002F1769" w:rsidRDefault="002F1769" w:rsidP="002F1769">
            <w:r w:rsidRPr="002F1769">
              <w:t>~14,000,000</w:t>
            </w:r>
          </w:p>
        </w:tc>
        <w:tc>
          <w:tcPr>
            <w:tcW w:w="0" w:type="auto"/>
            <w:shd w:val="clear" w:color="auto" w:fill="1B1B1B"/>
            <w:tcMar>
              <w:top w:w="120" w:type="dxa"/>
              <w:left w:w="180" w:type="dxa"/>
              <w:bottom w:w="120" w:type="dxa"/>
              <w:right w:w="180" w:type="dxa"/>
            </w:tcMar>
            <w:hideMark/>
          </w:tcPr>
          <w:p w14:paraId="0261636D" w14:textId="77777777" w:rsidR="002F1769" w:rsidRPr="002F1769" w:rsidRDefault="002F1769" w:rsidP="002F1769">
            <w:r w:rsidRPr="002F1769">
              <w:t>43 tanks</w:t>
            </w:r>
          </w:p>
        </w:tc>
        <w:tc>
          <w:tcPr>
            <w:tcW w:w="0" w:type="auto"/>
            <w:shd w:val="clear" w:color="auto" w:fill="1B1B1B"/>
            <w:tcMar>
              <w:top w:w="120" w:type="dxa"/>
              <w:left w:w="180" w:type="dxa"/>
              <w:bottom w:w="120" w:type="dxa"/>
              <w:right w:w="180" w:type="dxa"/>
            </w:tcMar>
            <w:hideMark/>
          </w:tcPr>
          <w:p w14:paraId="6D300218" w14:textId="77777777" w:rsidR="002F1769" w:rsidRPr="002F1769" w:rsidRDefault="002F1769" w:rsidP="002F1769">
            <w:r w:rsidRPr="002F1769">
              <w:t xml:space="preserve">Largest independent storage; unit rail facility </w:t>
            </w:r>
          </w:p>
        </w:tc>
      </w:tr>
      <w:tr w:rsidR="002F1769" w:rsidRPr="002F1769" w14:paraId="7184048D" w14:textId="77777777">
        <w:trPr>
          <w:tblCellSpacing w:w="15" w:type="dxa"/>
        </w:trPr>
        <w:tc>
          <w:tcPr>
            <w:tcW w:w="0" w:type="auto"/>
            <w:shd w:val="clear" w:color="auto" w:fill="1B1B1B"/>
            <w:tcMar>
              <w:top w:w="120" w:type="dxa"/>
              <w:left w:w="180" w:type="dxa"/>
              <w:bottom w:w="120" w:type="dxa"/>
              <w:right w:w="180" w:type="dxa"/>
            </w:tcMar>
            <w:hideMark/>
          </w:tcPr>
          <w:p w14:paraId="0F2CE4D9" w14:textId="77777777" w:rsidR="002F1769" w:rsidRPr="002F1769" w:rsidRDefault="002F1769" w:rsidP="002F1769">
            <w:r w:rsidRPr="002F1769">
              <w:lastRenderedPageBreak/>
              <w:t>Husky Midstream</w:t>
            </w:r>
          </w:p>
        </w:tc>
        <w:tc>
          <w:tcPr>
            <w:tcW w:w="0" w:type="auto"/>
            <w:shd w:val="clear" w:color="auto" w:fill="1B1B1B"/>
            <w:tcMar>
              <w:top w:w="120" w:type="dxa"/>
              <w:left w:w="180" w:type="dxa"/>
              <w:bottom w:w="120" w:type="dxa"/>
              <w:right w:w="180" w:type="dxa"/>
            </w:tcMar>
            <w:hideMark/>
          </w:tcPr>
          <w:p w14:paraId="485401BE" w14:textId="77777777" w:rsidR="002F1769" w:rsidRPr="002F1769" w:rsidRDefault="002F1769" w:rsidP="002F1769">
            <w:r w:rsidRPr="002F1769">
              <w:t>~4,900,000</w:t>
            </w:r>
          </w:p>
        </w:tc>
        <w:tc>
          <w:tcPr>
            <w:tcW w:w="0" w:type="auto"/>
            <w:shd w:val="clear" w:color="auto" w:fill="1B1B1B"/>
            <w:tcMar>
              <w:top w:w="120" w:type="dxa"/>
              <w:left w:w="180" w:type="dxa"/>
              <w:bottom w:w="120" w:type="dxa"/>
              <w:right w:w="180" w:type="dxa"/>
            </w:tcMar>
            <w:hideMark/>
          </w:tcPr>
          <w:p w14:paraId="59D3B69B" w14:textId="77777777" w:rsidR="002F1769" w:rsidRPr="002F1769" w:rsidRDefault="002F1769" w:rsidP="002F1769">
            <w:r w:rsidRPr="002F1769">
              <w:t>19 tanks</w:t>
            </w:r>
          </w:p>
        </w:tc>
        <w:tc>
          <w:tcPr>
            <w:tcW w:w="0" w:type="auto"/>
            <w:shd w:val="clear" w:color="auto" w:fill="1B1B1B"/>
            <w:tcMar>
              <w:top w:w="120" w:type="dxa"/>
              <w:left w:w="180" w:type="dxa"/>
              <w:bottom w:w="120" w:type="dxa"/>
              <w:right w:w="180" w:type="dxa"/>
            </w:tcMar>
            <w:hideMark/>
          </w:tcPr>
          <w:p w14:paraId="2A113752" w14:textId="77777777" w:rsidR="002F1769" w:rsidRPr="002F1769" w:rsidRDefault="002F1769" w:rsidP="002F1769">
            <w:r w:rsidRPr="002F1769">
              <w:t xml:space="preserve">Exclusive blender for Western Canadian Select (WCS) </w:t>
            </w:r>
          </w:p>
        </w:tc>
      </w:tr>
      <w:tr w:rsidR="002F1769" w:rsidRPr="002F1769" w14:paraId="3774A2E9" w14:textId="77777777">
        <w:trPr>
          <w:tblCellSpacing w:w="15" w:type="dxa"/>
        </w:trPr>
        <w:tc>
          <w:tcPr>
            <w:tcW w:w="0" w:type="auto"/>
            <w:shd w:val="clear" w:color="auto" w:fill="1B1B1B"/>
            <w:tcMar>
              <w:top w:w="120" w:type="dxa"/>
              <w:left w:w="180" w:type="dxa"/>
              <w:bottom w:w="120" w:type="dxa"/>
              <w:right w:w="180" w:type="dxa"/>
            </w:tcMar>
            <w:hideMark/>
          </w:tcPr>
          <w:p w14:paraId="70AF852A" w14:textId="77777777" w:rsidR="002F1769" w:rsidRPr="002F1769" w:rsidRDefault="002F1769" w:rsidP="002F1769">
            <w:r w:rsidRPr="002F1769">
              <w:t>Lloydminster (Satellite)</w:t>
            </w:r>
          </w:p>
        </w:tc>
        <w:tc>
          <w:tcPr>
            <w:tcW w:w="0" w:type="auto"/>
            <w:shd w:val="clear" w:color="auto" w:fill="1B1B1B"/>
            <w:tcMar>
              <w:top w:w="120" w:type="dxa"/>
              <w:left w:w="180" w:type="dxa"/>
              <w:bottom w:w="120" w:type="dxa"/>
              <w:right w:w="180" w:type="dxa"/>
            </w:tcMar>
            <w:hideMark/>
          </w:tcPr>
          <w:p w14:paraId="1894847C" w14:textId="77777777" w:rsidR="002F1769" w:rsidRPr="002F1769" w:rsidRDefault="002F1769" w:rsidP="002F1769">
            <w:r w:rsidRPr="002F1769">
              <w:t>~1,000,000</w:t>
            </w:r>
          </w:p>
        </w:tc>
        <w:tc>
          <w:tcPr>
            <w:tcW w:w="0" w:type="auto"/>
            <w:shd w:val="clear" w:color="auto" w:fill="1B1B1B"/>
            <w:tcMar>
              <w:top w:w="120" w:type="dxa"/>
              <w:left w:w="180" w:type="dxa"/>
              <w:bottom w:w="120" w:type="dxa"/>
              <w:right w:w="180" w:type="dxa"/>
            </w:tcMar>
            <w:hideMark/>
          </w:tcPr>
          <w:p w14:paraId="14AB5600" w14:textId="77777777" w:rsidR="002F1769" w:rsidRPr="002F1769" w:rsidRDefault="002F1769" w:rsidP="002F1769">
            <w:r w:rsidRPr="002F1769">
              <w:t>9 tanks</w:t>
            </w:r>
          </w:p>
        </w:tc>
        <w:tc>
          <w:tcPr>
            <w:tcW w:w="0" w:type="auto"/>
            <w:shd w:val="clear" w:color="auto" w:fill="1B1B1B"/>
            <w:tcMar>
              <w:top w:w="120" w:type="dxa"/>
              <w:left w:w="180" w:type="dxa"/>
              <w:bottom w:w="120" w:type="dxa"/>
              <w:right w:w="180" w:type="dxa"/>
            </w:tcMar>
            <w:hideMark/>
          </w:tcPr>
          <w:p w14:paraId="0C0F0662" w14:textId="77777777" w:rsidR="002F1769" w:rsidRPr="002F1769" w:rsidRDefault="002F1769" w:rsidP="002F1769">
            <w:r w:rsidRPr="002F1769">
              <w:t xml:space="preserve">Central hub for gathering systems </w:t>
            </w:r>
          </w:p>
        </w:tc>
      </w:tr>
    </w:tbl>
    <w:p w14:paraId="109A9F29" w14:textId="77777777" w:rsidR="002F1769" w:rsidRPr="002F1769" w:rsidRDefault="002F1769" w:rsidP="002F1769">
      <w:r w:rsidRPr="002F1769">
        <w:t>  </w:t>
      </w:r>
    </w:p>
    <w:p w14:paraId="16D8AB8F" w14:textId="77777777" w:rsidR="002F1769" w:rsidRPr="002F1769" w:rsidRDefault="002F1769" w:rsidP="002F1769">
      <w:r w:rsidRPr="002F1769">
        <w:t>Husky Midstream (Cenovus) operates a facility with a peak throughput of over 750,000 barrels per day (bpd), providing access to 14 inbound pipeline connections and over 30 different crude types. The terminal's land position allows for an additional 8.5 million barrels of storage expansion, reflecting the anticipated growth in oil sands production despite the transition to net-zero. Meanwhile, Enbridge’s Hardisty terminal serves as the origin for the Enbridge Mainline, which moves approximately 3.5 million bpd of crude and refined products.   </w:t>
      </w:r>
    </w:p>
    <w:p w14:paraId="113A4141" w14:textId="77777777" w:rsidR="002F1769" w:rsidRPr="002F1769" w:rsidRDefault="002F1769" w:rsidP="002F1769">
      <w:pPr>
        <w:rPr>
          <w:b/>
          <w:bCs/>
        </w:rPr>
      </w:pPr>
      <w:r w:rsidRPr="002F1769">
        <w:rPr>
          <w:b/>
          <w:bCs/>
        </w:rPr>
        <w:t>The Blending Mechanism of Western Canadian Select (WCS)</w:t>
      </w:r>
    </w:p>
    <w:p w14:paraId="02E605DA" w14:textId="77777777" w:rsidR="002F1769" w:rsidRPr="002F1769" w:rsidRDefault="002F1769" w:rsidP="002F1769">
      <w:r w:rsidRPr="002F1769">
        <w:t>A primary function of the Hardisty hub is the creation of the WCS benchmark, the standard for heavy Canadian crude oil. The blending process is a high-precision operation that combines heavy bitumen with lighter diluents (condensate) or synthetic crude from upgraders to reach a specific density and sulfur profile. WCS is characterized by a high API gravity and sulfur content, which necessitates a significant price discount compared to the light, sweet West Texas Intermediate (WTI). This discount, known as the WCS-WTI differential, is influenced by three primary factors: quality differences, transportation costs, and pipeline capacity utilization.   </w:t>
      </w:r>
    </w:p>
    <w:p w14:paraId="4D7B2841" w14:textId="77777777" w:rsidR="002F1769" w:rsidRPr="002F1769" w:rsidRDefault="002F1769" w:rsidP="002F1769">
      <w:r w:rsidRPr="002F1769">
        <w:t>The quality difference alone accounts for a market value gap of approximately $6.92 per barrel. However, when pipeline capacity becomes "binding"—meaning the volume of oil produced exceeds the available space in takeaway pipelines—the differential can widen dramatically. Historically, between 2011 and 2014, and again in late 2018, this spread exceeded $40 per barrel as producers were forced to store oil or utilize more expensive rail transport.   </w:t>
      </w:r>
    </w:p>
    <w:p w14:paraId="08C417F7" w14:textId="77777777" w:rsidR="002F1769" w:rsidRPr="002F1769" w:rsidRDefault="002F1769" w:rsidP="002F1769">
      <w:pPr>
        <w:rPr>
          <w:b/>
          <w:bCs/>
        </w:rPr>
      </w:pPr>
      <w:r w:rsidRPr="002F1769">
        <w:rPr>
          <w:b/>
          <w:bCs/>
        </w:rPr>
        <w:t>Pipeline Connectivity and Export Gateways</w:t>
      </w:r>
    </w:p>
    <w:p w14:paraId="65D81ABF" w14:textId="77777777" w:rsidR="002F1769" w:rsidRPr="002F1769" w:rsidRDefault="002F1769" w:rsidP="002F1769">
      <w:r w:rsidRPr="002F1769">
        <w:t>Hardisty serves as the gateway for nearly all Canadian crude oil exported to the United States. The system is divided into gathering, feeder, and transmission pipelines, with the Canada Energy Regulator (CER) overseeing the 19,142 km of transboundary lines.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162"/>
        <w:gridCol w:w="2624"/>
        <w:gridCol w:w="5365"/>
        <w:gridCol w:w="3239"/>
      </w:tblGrid>
      <w:tr w:rsidR="002F1769" w:rsidRPr="002F1769" w14:paraId="66538767" w14:textId="77777777">
        <w:trPr>
          <w:tblHeader/>
          <w:tblCellSpacing w:w="15" w:type="dxa"/>
        </w:trPr>
        <w:tc>
          <w:tcPr>
            <w:tcW w:w="0" w:type="auto"/>
            <w:shd w:val="clear" w:color="auto" w:fill="282A2C"/>
            <w:tcMar>
              <w:top w:w="120" w:type="dxa"/>
              <w:left w:w="180" w:type="dxa"/>
              <w:bottom w:w="120" w:type="dxa"/>
              <w:right w:w="180" w:type="dxa"/>
            </w:tcMar>
            <w:hideMark/>
          </w:tcPr>
          <w:p w14:paraId="2E86FE2F" w14:textId="77777777" w:rsidR="002F1769" w:rsidRPr="002F1769" w:rsidRDefault="002F1769" w:rsidP="002F1769">
            <w:r w:rsidRPr="002F1769">
              <w:t>Pipeline System</w:t>
            </w:r>
          </w:p>
        </w:tc>
        <w:tc>
          <w:tcPr>
            <w:tcW w:w="0" w:type="auto"/>
            <w:shd w:val="clear" w:color="auto" w:fill="282A2C"/>
            <w:tcMar>
              <w:top w:w="120" w:type="dxa"/>
              <w:left w:w="180" w:type="dxa"/>
              <w:bottom w:w="120" w:type="dxa"/>
              <w:right w:w="180" w:type="dxa"/>
            </w:tcMar>
            <w:hideMark/>
          </w:tcPr>
          <w:p w14:paraId="0BD22107" w14:textId="77777777" w:rsidR="002F1769" w:rsidRPr="002F1769" w:rsidRDefault="002F1769" w:rsidP="002F1769">
            <w:r w:rsidRPr="002F1769">
              <w:t>Capacity (Mb/d)</w:t>
            </w:r>
          </w:p>
        </w:tc>
        <w:tc>
          <w:tcPr>
            <w:tcW w:w="0" w:type="auto"/>
            <w:shd w:val="clear" w:color="auto" w:fill="282A2C"/>
            <w:tcMar>
              <w:top w:w="120" w:type="dxa"/>
              <w:left w:w="180" w:type="dxa"/>
              <w:bottom w:w="120" w:type="dxa"/>
              <w:right w:w="180" w:type="dxa"/>
            </w:tcMar>
            <w:hideMark/>
          </w:tcPr>
          <w:p w14:paraId="1749B5C1" w14:textId="77777777" w:rsidR="002F1769" w:rsidRPr="002F1769" w:rsidRDefault="002F1769" w:rsidP="002F1769">
            <w:r w:rsidRPr="002F1769">
              <w:t>Destination Hubs</w:t>
            </w:r>
          </w:p>
        </w:tc>
        <w:tc>
          <w:tcPr>
            <w:tcW w:w="0" w:type="auto"/>
            <w:shd w:val="clear" w:color="auto" w:fill="282A2C"/>
            <w:tcMar>
              <w:top w:w="120" w:type="dxa"/>
              <w:left w:w="180" w:type="dxa"/>
              <w:bottom w:w="120" w:type="dxa"/>
              <w:right w:w="180" w:type="dxa"/>
            </w:tcMar>
            <w:hideMark/>
          </w:tcPr>
          <w:p w14:paraId="01CE6709" w14:textId="77777777" w:rsidR="002F1769" w:rsidRPr="002F1769" w:rsidRDefault="002F1769" w:rsidP="002F1769">
            <w:r w:rsidRPr="002F1769">
              <w:t>Regulatory Oversight</w:t>
            </w:r>
          </w:p>
        </w:tc>
      </w:tr>
      <w:tr w:rsidR="002F1769" w:rsidRPr="002F1769" w14:paraId="5764E286" w14:textId="77777777">
        <w:trPr>
          <w:tblCellSpacing w:w="15" w:type="dxa"/>
        </w:trPr>
        <w:tc>
          <w:tcPr>
            <w:tcW w:w="0" w:type="auto"/>
            <w:shd w:val="clear" w:color="auto" w:fill="1B1B1B"/>
            <w:tcMar>
              <w:top w:w="120" w:type="dxa"/>
              <w:left w:w="180" w:type="dxa"/>
              <w:bottom w:w="120" w:type="dxa"/>
              <w:right w:w="180" w:type="dxa"/>
            </w:tcMar>
            <w:hideMark/>
          </w:tcPr>
          <w:p w14:paraId="2D7E7109" w14:textId="77777777" w:rsidR="002F1769" w:rsidRPr="002F1769" w:rsidRDefault="002F1769" w:rsidP="002F1769">
            <w:r w:rsidRPr="002F1769">
              <w:t>Enbridge Canadian Mainline</w:t>
            </w:r>
          </w:p>
        </w:tc>
        <w:tc>
          <w:tcPr>
            <w:tcW w:w="0" w:type="auto"/>
            <w:shd w:val="clear" w:color="auto" w:fill="1B1B1B"/>
            <w:tcMar>
              <w:top w:w="120" w:type="dxa"/>
              <w:left w:w="180" w:type="dxa"/>
              <w:bottom w:w="120" w:type="dxa"/>
              <w:right w:w="180" w:type="dxa"/>
            </w:tcMar>
            <w:hideMark/>
          </w:tcPr>
          <w:p w14:paraId="66C31EFD" w14:textId="77777777" w:rsidR="002F1769" w:rsidRPr="002F1769" w:rsidRDefault="002F1769" w:rsidP="002F1769">
            <w:r w:rsidRPr="002F1769">
              <w:t>2,890</w:t>
            </w:r>
          </w:p>
        </w:tc>
        <w:tc>
          <w:tcPr>
            <w:tcW w:w="0" w:type="auto"/>
            <w:shd w:val="clear" w:color="auto" w:fill="1B1B1B"/>
            <w:tcMar>
              <w:top w:w="120" w:type="dxa"/>
              <w:left w:w="180" w:type="dxa"/>
              <w:bottom w:w="120" w:type="dxa"/>
              <w:right w:w="180" w:type="dxa"/>
            </w:tcMar>
            <w:hideMark/>
          </w:tcPr>
          <w:p w14:paraId="6688BD01" w14:textId="77777777" w:rsidR="002F1769" w:rsidRPr="002F1769" w:rsidRDefault="002F1769" w:rsidP="002F1769">
            <w:r w:rsidRPr="002F1769">
              <w:t>Superior, WI; Chicago, IL; Sarnia, ON</w:t>
            </w:r>
          </w:p>
        </w:tc>
        <w:tc>
          <w:tcPr>
            <w:tcW w:w="0" w:type="auto"/>
            <w:shd w:val="clear" w:color="auto" w:fill="1B1B1B"/>
            <w:tcMar>
              <w:top w:w="120" w:type="dxa"/>
              <w:left w:w="180" w:type="dxa"/>
              <w:bottom w:w="120" w:type="dxa"/>
              <w:right w:w="180" w:type="dxa"/>
            </w:tcMar>
            <w:hideMark/>
          </w:tcPr>
          <w:p w14:paraId="26C7BB30" w14:textId="77777777" w:rsidR="002F1769" w:rsidRPr="002F1769" w:rsidRDefault="002F1769" w:rsidP="002F1769">
            <w:r w:rsidRPr="002F1769">
              <w:t xml:space="preserve">CER </w:t>
            </w:r>
          </w:p>
        </w:tc>
      </w:tr>
      <w:tr w:rsidR="002F1769" w:rsidRPr="002F1769" w14:paraId="6A44F38A" w14:textId="77777777">
        <w:trPr>
          <w:tblCellSpacing w:w="15" w:type="dxa"/>
        </w:trPr>
        <w:tc>
          <w:tcPr>
            <w:tcW w:w="0" w:type="auto"/>
            <w:shd w:val="clear" w:color="auto" w:fill="1B1B1B"/>
            <w:tcMar>
              <w:top w:w="120" w:type="dxa"/>
              <w:left w:w="180" w:type="dxa"/>
              <w:bottom w:w="120" w:type="dxa"/>
              <w:right w:w="180" w:type="dxa"/>
            </w:tcMar>
            <w:hideMark/>
          </w:tcPr>
          <w:p w14:paraId="54531076" w14:textId="77777777" w:rsidR="002F1769" w:rsidRPr="002F1769" w:rsidRDefault="002F1769" w:rsidP="002F1769">
            <w:r w:rsidRPr="002F1769">
              <w:t>Keystone Pipeline</w:t>
            </w:r>
          </w:p>
        </w:tc>
        <w:tc>
          <w:tcPr>
            <w:tcW w:w="0" w:type="auto"/>
            <w:shd w:val="clear" w:color="auto" w:fill="1B1B1B"/>
            <w:tcMar>
              <w:top w:w="120" w:type="dxa"/>
              <w:left w:w="180" w:type="dxa"/>
              <w:bottom w:w="120" w:type="dxa"/>
              <w:right w:w="180" w:type="dxa"/>
            </w:tcMar>
            <w:hideMark/>
          </w:tcPr>
          <w:p w14:paraId="11AB5A48" w14:textId="77777777" w:rsidR="002F1769" w:rsidRPr="002F1769" w:rsidRDefault="002F1769" w:rsidP="002F1769">
            <w:r w:rsidRPr="002F1769">
              <w:t>591</w:t>
            </w:r>
          </w:p>
        </w:tc>
        <w:tc>
          <w:tcPr>
            <w:tcW w:w="0" w:type="auto"/>
            <w:shd w:val="clear" w:color="auto" w:fill="1B1B1B"/>
            <w:tcMar>
              <w:top w:w="120" w:type="dxa"/>
              <w:left w:w="180" w:type="dxa"/>
              <w:bottom w:w="120" w:type="dxa"/>
              <w:right w:w="180" w:type="dxa"/>
            </w:tcMar>
            <w:hideMark/>
          </w:tcPr>
          <w:p w14:paraId="75B346B5" w14:textId="77777777" w:rsidR="002F1769" w:rsidRPr="002F1769" w:rsidRDefault="002F1769" w:rsidP="002F1769">
            <w:r w:rsidRPr="002F1769">
              <w:t>Cushing, OK; Port Arthur/Houston, TX</w:t>
            </w:r>
          </w:p>
        </w:tc>
        <w:tc>
          <w:tcPr>
            <w:tcW w:w="0" w:type="auto"/>
            <w:shd w:val="clear" w:color="auto" w:fill="1B1B1B"/>
            <w:tcMar>
              <w:top w:w="120" w:type="dxa"/>
              <w:left w:w="180" w:type="dxa"/>
              <w:bottom w:w="120" w:type="dxa"/>
              <w:right w:w="180" w:type="dxa"/>
            </w:tcMar>
            <w:hideMark/>
          </w:tcPr>
          <w:p w14:paraId="79AC83B0" w14:textId="77777777" w:rsidR="002F1769" w:rsidRPr="002F1769" w:rsidRDefault="002F1769" w:rsidP="002F1769">
            <w:r w:rsidRPr="002F1769">
              <w:t xml:space="preserve">CER / US State Dept </w:t>
            </w:r>
          </w:p>
        </w:tc>
      </w:tr>
      <w:tr w:rsidR="002F1769" w:rsidRPr="002F1769" w14:paraId="532C511F" w14:textId="77777777">
        <w:trPr>
          <w:tblCellSpacing w:w="15" w:type="dxa"/>
        </w:trPr>
        <w:tc>
          <w:tcPr>
            <w:tcW w:w="0" w:type="auto"/>
            <w:shd w:val="clear" w:color="auto" w:fill="1B1B1B"/>
            <w:tcMar>
              <w:top w:w="120" w:type="dxa"/>
              <w:left w:w="180" w:type="dxa"/>
              <w:bottom w:w="120" w:type="dxa"/>
              <w:right w:w="180" w:type="dxa"/>
            </w:tcMar>
            <w:hideMark/>
          </w:tcPr>
          <w:p w14:paraId="723FF808" w14:textId="77777777" w:rsidR="002F1769" w:rsidRPr="002F1769" w:rsidRDefault="002F1769" w:rsidP="002F1769">
            <w:r w:rsidRPr="002F1769">
              <w:lastRenderedPageBreak/>
              <w:t>Express Pipeline</w:t>
            </w:r>
          </w:p>
        </w:tc>
        <w:tc>
          <w:tcPr>
            <w:tcW w:w="0" w:type="auto"/>
            <w:shd w:val="clear" w:color="auto" w:fill="1B1B1B"/>
            <w:tcMar>
              <w:top w:w="120" w:type="dxa"/>
              <w:left w:w="180" w:type="dxa"/>
              <w:bottom w:w="120" w:type="dxa"/>
              <w:right w:w="180" w:type="dxa"/>
            </w:tcMar>
            <w:hideMark/>
          </w:tcPr>
          <w:p w14:paraId="1B1B3143" w14:textId="77777777" w:rsidR="002F1769" w:rsidRPr="002F1769" w:rsidRDefault="002F1769" w:rsidP="002F1769">
            <w:r w:rsidRPr="002F1769">
              <w:t>310</w:t>
            </w:r>
          </w:p>
        </w:tc>
        <w:tc>
          <w:tcPr>
            <w:tcW w:w="0" w:type="auto"/>
            <w:shd w:val="clear" w:color="auto" w:fill="1B1B1B"/>
            <w:tcMar>
              <w:top w:w="120" w:type="dxa"/>
              <w:left w:w="180" w:type="dxa"/>
              <w:bottom w:w="120" w:type="dxa"/>
              <w:right w:w="180" w:type="dxa"/>
            </w:tcMar>
            <w:hideMark/>
          </w:tcPr>
          <w:p w14:paraId="7D3D8F9C" w14:textId="77777777" w:rsidR="002F1769" w:rsidRPr="002F1769" w:rsidRDefault="002F1769" w:rsidP="002F1769">
            <w:r w:rsidRPr="002F1769">
              <w:t>Casper, WY; Wood River, IL</w:t>
            </w:r>
          </w:p>
        </w:tc>
        <w:tc>
          <w:tcPr>
            <w:tcW w:w="0" w:type="auto"/>
            <w:shd w:val="clear" w:color="auto" w:fill="1B1B1B"/>
            <w:tcMar>
              <w:top w:w="120" w:type="dxa"/>
              <w:left w:w="180" w:type="dxa"/>
              <w:bottom w:w="120" w:type="dxa"/>
              <w:right w:w="180" w:type="dxa"/>
            </w:tcMar>
            <w:hideMark/>
          </w:tcPr>
          <w:p w14:paraId="3DBB3D52" w14:textId="77777777" w:rsidR="002F1769" w:rsidRPr="002F1769" w:rsidRDefault="002F1769" w:rsidP="002F1769">
            <w:r w:rsidRPr="002F1769">
              <w:t xml:space="preserve">CER </w:t>
            </w:r>
          </w:p>
        </w:tc>
      </w:tr>
      <w:tr w:rsidR="002F1769" w:rsidRPr="002F1769" w14:paraId="540AE76F" w14:textId="77777777">
        <w:trPr>
          <w:tblCellSpacing w:w="15" w:type="dxa"/>
        </w:trPr>
        <w:tc>
          <w:tcPr>
            <w:tcW w:w="0" w:type="auto"/>
            <w:shd w:val="clear" w:color="auto" w:fill="1B1B1B"/>
            <w:tcMar>
              <w:top w:w="120" w:type="dxa"/>
              <w:left w:w="180" w:type="dxa"/>
              <w:bottom w:w="120" w:type="dxa"/>
              <w:right w:w="180" w:type="dxa"/>
            </w:tcMar>
            <w:hideMark/>
          </w:tcPr>
          <w:p w14:paraId="66310666" w14:textId="77777777" w:rsidR="002F1769" w:rsidRPr="002F1769" w:rsidRDefault="002F1769" w:rsidP="002F1769">
            <w:r w:rsidRPr="002F1769">
              <w:t>Trans Mountain (Legacy)</w:t>
            </w:r>
          </w:p>
        </w:tc>
        <w:tc>
          <w:tcPr>
            <w:tcW w:w="0" w:type="auto"/>
            <w:shd w:val="clear" w:color="auto" w:fill="1B1B1B"/>
            <w:tcMar>
              <w:top w:w="120" w:type="dxa"/>
              <w:left w:w="180" w:type="dxa"/>
              <w:bottom w:w="120" w:type="dxa"/>
              <w:right w:w="180" w:type="dxa"/>
            </w:tcMar>
            <w:hideMark/>
          </w:tcPr>
          <w:p w14:paraId="01CF65BA" w14:textId="77777777" w:rsidR="002F1769" w:rsidRPr="002F1769" w:rsidRDefault="002F1769" w:rsidP="002F1769">
            <w:r w:rsidRPr="002F1769">
              <w:t>300</w:t>
            </w:r>
          </w:p>
        </w:tc>
        <w:tc>
          <w:tcPr>
            <w:tcW w:w="0" w:type="auto"/>
            <w:shd w:val="clear" w:color="auto" w:fill="1B1B1B"/>
            <w:tcMar>
              <w:top w:w="120" w:type="dxa"/>
              <w:left w:w="180" w:type="dxa"/>
              <w:bottom w:w="120" w:type="dxa"/>
              <w:right w:w="180" w:type="dxa"/>
            </w:tcMar>
            <w:hideMark/>
          </w:tcPr>
          <w:p w14:paraId="0C7E4EEA" w14:textId="77777777" w:rsidR="002F1769" w:rsidRPr="002F1769" w:rsidRDefault="002F1769" w:rsidP="002F1769">
            <w:r w:rsidRPr="002F1769">
              <w:t>Burnaby, BC; Washington State</w:t>
            </w:r>
          </w:p>
        </w:tc>
        <w:tc>
          <w:tcPr>
            <w:tcW w:w="0" w:type="auto"/>
            <w:shd w:val="clear" w:color="auto" w:fill="1B1B1B"/>
            <w:tcMar>
              <w:top w:w="120" w:type="dxa"/>
              <w:left w:w="180" w:type="dxa"/>
              <w:bottom w:w="120" w:type="dxa"/>
              <w:right w:w="180" w:type="dxa"/>
            </w:tcMar>
            <w:hideMark/>
          </w:tcPr>
          <w:p w14:paraId="64A61F48" w14:textId="77777777" w:rsidR="002F1769" w:rsidRPr="002F1769" w:rsidRDefault="002F1769" w:rsidP="002F1769">
            <w:r w:rsidRPr="002F1769">
              <w:t xml:space="preserve">CER </w:t>
            </w:r>
          </w:p>
        </w:tc>
      </w:tr>
      <w:tr w:rsidR="002F1769" w:rsidRPr="002F1769" w14:paraId="54458B77" w14:textId="77777777">
        <w:trPr>
          <w:tblCellSpacing w:w="15" w:type="dxa"/>
        </w:trPr>
        <w:tc>
          <w:tcPr>
            <w:tcW w:w="0" w:type="auto"/>
            <w:shd w:val="clear" w:color="auto" w:fill="1B1B1B"/>
            <w:tcMar>
              <w:top w:w="120" w:type="dxa"/>
              <w:left w:w="180" w:type="dxa"/>
              <w:bottom w:w="120" w:type="dxa"/>
              <w:right w:w="180" w:type="dxa"/>
            </w:tcMar>
            <w:hideMark/>
          </w:tcPr>
          <w:p w14:paraId="415D7985" w14:textId="77777777" w:rsidR="002F1769" w:rsidRPr="002F1769" w:rsidRDefault="002F1769" w:rsidP="002F1769">
            <w:r w:rsidRPr="002F1769">
              <w:t>Trans Mountain Expansion</w:t>
            </w:r>
          </w:p>
        </w:tc>
        <w:tc>
          <w:tcPr>
            <w:tcW w:w="0" w:type="auto"/>
            <w:shd w:val="clear" w:color="auto" w:fill="1B1B1B"/>
            <w:tcMar>
              <w:top w:w="120" w:type="dxa"/>
              <w:left w:w="180" w:type="dxa"/>
              <w:bottom w:w="120" w:type="dxa"/>
              <w:right w:w="180" w:type="dxa"/>
            </w:tcMar>
            <w:hideMark/>
          </w:tcPr>
          <w:p w14:paraId="3A0BC83F" w14:textId="77777777" w:rsidR="002F1769" w:rsidRPr="002F1769" w:rsidRDefault="002F1769" w:rsidP="002F1769">
            <w:r w:rsidRPr="002F1769">
              <w:t>540 (Add)</w:t>
            </w:r>
          </w:p>
        </w:tc>
        <w:tc>
          <w:tcPr>
            <w:tcW w:w="0" w:type="auto"/>
            <w:shd w:val="clear" w:color="auto" w:fill="1B1B1B"/>
            <w:tcMar>
              <w:top w:w="120" w:type="dxa"/>
              <w:left w:w="180" w:type="dxa"/>
              <w:bottom w:w="120" w:type="dxa"/>
              <w:right w:w="180" w:type="dxa"/>
            </w:tcMar>
            <w:hideMark/>
          </w:tcPr>
          <w:p w14:paraId="710DE60F" w14:textId="77777777" w:rsidR="002F1769" w:rsidRPr="002F1769" w:rsidRDefault="002F1769" w:rsidP="002F1769">
            <w:r w:rsidRPr="002F1769">
              <w:t>West Coast Export Terminals</w:t>
            </w:r>
          </w:p>
        </w:tc>
        <w:tc>
          <w:tcPr>
            <w:tcW w:w="0" w:type="auto"/>
            <w:shd w:val="clear" w:color="auto" w:fill="1B1B1B"/>
            <w:tcMar>
              <w:top w:w="120" w:type="dxa"/>
              <w:left w:w="180" w:type="dxa"/>
              <w:bottom w:w="120" w:type="dxa"/>
              <w:right w:w="180" w:type="dxa"/>
            </w:tcMar>
            <w:hideMark/>
          </w:tcPr>
          <w:p w14:paraId="3D3FD119" w14:textId="77777777" w:rsidR="002F1769" w:rsidRPr="002F1769" w:rsidRDefault="002F1769" w:rsidP="002F1769">
            <w:r w:rsidRPr="002F1769">
              <w:t xml:space="preserve">CER </w:t>
            </w:r>
          </w:p>
        </w:tc>
      </w:tr>
    </w:tbl>
    <w:p w14:paraId="0B0436D7" w14:textId="77777777" w:rsidR="002F1769" w:rsidRPr="002F1769" w:rsidRDefault="002F1769" w:rsidP="002F1769">
      <w:r w:rsidRPr="002F1769">
        <w:t>  </w:t>
      </w:r>
    </w:p>
    <w:p w14:paraId="3BB88B15" w14:textId="77777777" w:rsidR="002F1769" w:rsidRPr="002F1769" w:rsidRDefault="002F1769" w:rsidP="002F1769">
      <w:r w:rsidRPr="002F1769">
        <w:t>The Enbridge Mainline is the most complex system, shipping dozens of different commodities and utilizing the Hardisty terminal as one of 13 key receipt and delivery points. The Keystone system, now owned by South Bow GP following a spin-off from TC Energy, is the second-largest export line, providing uncommitted tolls from Hardisty to delivery points in the U.S. Gulf Coast.   </w:t>
      </w:r>
    </w:p>
    <w:p w14:paraId="31BC6837" w14:textId="77777777" w:rsidR="002F1769" w:rsidRPr="002F1769" w:rsidRDefault="002F1769" w:rsidP="002F1769">
      <w:pPr>
        <w:rPr>
          <w:b/>
          <w:bCs/>
        </w:rPr>
      </w:pPr>
      <w:r w:rsidRPr="002F1769">
        <w:rPr>
          <w:b/>
          <w:bCs/>
        </w:rPr>
        <w:t>Visual Recommendation: The Hardisty Molecular Flow Map</w:t>
      </w:r>
    </w:p>
    <w:p w14:paraId="23F6D9AD" w14:textId="77777777" w:rsidR="002F1769" w:rsidRPr="002F1769" w:rsidRDefault="002F1769" w:rsidP="002F1769">
      <w:r w:rsidRPr="002F1769">
        <w:t>For a website deep dive, a high-resolution, interactive map of the Hardisty terminal complex is essential. This visual should highlight the "spaghetti" of inbound feeder lines from McMurray and the massive outbound transmission lines.</w:t>
      </w:r>
    </w:p>
    <w:p w14:paraId="50099791" w14:textId="77777777" w:rsidR="002F1769" w:rsidRPr="002F1769" w:rsidRDefault="002F1769" w:rsidP="002F1769">
      <w:pPr>
        <w:numPr>
          <w:ilvl w:val="0"/>
          <w:numId w:val="1"/>
        </w:numPr>
      </w:pPr>
      <w:r w:rsidRPr="002F1769">
        <w:rPr>
          <w:b/>
          <w:bCs/>
        </w:rPr>
        <w:t>Visual Elements</w:t>
      </w:r>
      <w:r w:rsidRPr="002F1769">
        <w:t>: Use color-coded pipes to distinguish between heavy bitumen (black), synthetic crude (blue), and diluent (red).</w:t>
      </w:r>
    </w:p>
    <w:p w14:paraId="1B0867BA" w14:textId="77777777" w:rsidR="002F1769" w:rsidRPr="002F1769" w:rsidRDefault="002F1769" w:rsidP="002F1769">
      <w:pPr>
        <w:numPr>
          <w:ilvl w:val="0"/>
          <w:numId w:val="1"/>
        </w:numPr>
      </w:pPr>
      <w:r w:rsidRPr="002F1769">
        <w:rPr>
          <w:b/>
          <w:bCs/>
        </w:rPr>
        <w:t>Interaction</w:t>
      </w:r>
      <w:r w:rsidRPr="002F1769">
        <w:t>: Users should be able to click on a storage tank to see its capacity and the operator (e.g., Gibson or Enbridge).</w:t>
      </w:r>
    </w:p>
    <w:p w14:paraId="2C7FFA14" w14:textId="77777777" w:rsidR="002F1769" w:rsidRPr="002F1769" w:rsidRDefault="002F1769" w:rsidP="002F1769">
      <w:pPr>
        <w:numPr>
          <w:ilvl w:val="0"/>
          <w:numId w:val="1"/>
        </w:numPr>
      </w:pPr>
      <w:r w:rsidRPr="002F1769">
        <w:rPr>
          <w:b/>
          <w:bCs/>
        </w:rPr>
        <w:t>Economic Overlay</w:t>
      </w:r>
      <w:r w:rsidRPr="002F1769">
        <w:t>: A slider that shows how the WCS-WTI differential widens as the storage tanks on the map reach "max fill," visually demonstrating the concept of pipeline congestion and its impact on the Canadian economy.   </w:t>
      </w:r>
    </w:p>
    <w:p w14:paraId="44A98AE3" w14:textId="77777777" w:rsidR="002F1769" w:rsidRPr="002F1769" w:rsidRDefault="002F1769" w:rsidP="002F1769">
      <w:pPr>
        <w:rPr>
          <w:b/>
          <w:bCs/>
        </w:rPr>
      </w:pPr>
      <w:r w:rsidRPr="002F1769">
        <w:rPr>
          <w:b/>
          <w:bCs/>
        </w:rPr>
        <w:t>Cushing, Oklahoma: The Financial and Physical Hub of the United States</w:t>
      </w:r>
    </w:p>
    <w:p w14:paraId="3741F417" w14:textId="77777777" w:rsidR="002F1769" w:rsidRPr="002F1769" w:rsidRDefault="002F1769" w:rsidP="002F1769">
      <w:r w:rsidRPr="002F1769">
        <w:t>If Hardisty is the production nexus, Cushing, Oklahoma, is the world's most critical trading nexus for crude oil. Known as the "Pipeline Crossroads of the World," Cushing is the physical delivery point for the NYMEX WTI futures contract.   </w:t>
      </w:r>
    </w:p>
    <w:p w14:paraId="783DF716" w14:textId="77777777" w:rsidR="002F1769" w:rsidRPr="002F1769" w:rsidRDefault="002F1769" w:rsidP="002F1769">
      <w:pPr>
        <w:rPr>
          <w:b/>
          <w:bCs/>
        </w:rPr>
      </w:pPr>
      <w:r w:rsidRPr="002F1769">
        <w:rPr>
          <w:b/>
          <w:bCs/>
        </w:rPr>
        <w:t>Storage Capacity and Market Sentiment</w:t>
      </w:r>
    </w:p>
    <w:p w14:paraId="7C3CF3EF" w14:textId="77777777" w:rsidR="002F1769" w:rsidRPr="002F1769" w:rsidRDefault="002F1769" w:rsidP="002F1769">
      <w:r w:rsidRPr="002F1769">
        <w:t>Cushing’s importance to the global energy market cannot be overstated. It houses 14% of the total commercial tank and underground crude oil working storage capacity in the United States. The hub’s storage levels serve as a primary indicator of market health, directly impacting the futures curve structure.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7597"/>
        <w:gridCol w:w="5306"/>
        <w:gridCol w:w="2487"/>
      </w:tblGrid>
      <w:tr w:rsidR="002F1769" w:rsidRPr="002F1769" w14:paraId="18B320FC" w14:textId="77777777">
        <w:trPr>
          <w:tblHeader/>
          <w:tblCellSpacing w:w="15" w:type="dxa"/>
        </w:trPr>
        <w:tc>
          <w:tcPr>
            <w:tcW w:w="0" w:type="auto"/>
            <w:shd w:val="clear" w:color="auto" w:fill="282A2C"/>
            <w:tcMar>
              <w:top w:w="120" w:type="dxa"/>
              <w:left w:w="180" w:type="dxa"/>
              <w:bottom w:w="120" w:type="dxa"/>
              <w:right w:w="180" w:type="dxa"/>
            </w:tcMar>
            <w:hideMark/>
          </w:tcPr>
          <w:p w14:paraId="49671C39" w14:textId="77777777" w:rsidR="002F1769" w:rsidRPr="002F1769" w:rsidRDefault="002F1769" w:rsidP="002F1769">
            <w:r w:rsidRPr="002F1769">
              <w:lastRenderedPageBreak/>
              <w:t>Metric</w:t>
            </w:r>
          </w:p>
        </w:tc>
        <w:tc>
          <w:tcPr>
            <w:tcW w:w="0" w:type="auto"/>
            <w:shd w:val="clear" w:color="auto" w:fill="282A2C"/>
            <w:tcMar>
              <w:top w:w="120" w:type="dxa"/>
              <w:left w:w="180" w:type="dxa"/>
              <w:bottom w:w="120" w:type="dxa"/>
              <w:right w:w="180" w:type="dxa"/>
            </w:tcMar>
            <w:hideMark/>
          </w:tcPr>
          <w:p w14:paraId="13B28F0D" w14:textId="77777777" w:rsidR="002F1769" w:rsidRPr="002F1769" w:rsidRDefault="002F1769" w:rsidP="002F1769">
            <w:r w:rsidRPr="002F1769">
              <w:t>Specification</w:t>
            </w:r>
          </w:p>
        </w:tc>
        <w:tc>
          <w:tcPr>
            <w:tcW w:w="0" w:type="auto"/>
            <w:shd w:val="clear" w:color="auto" w:fill="282A2C"/>
            <w:tcMar>
              <w:top w:w="120" w:type="dxa"/>
              <w:left w:w="180" w:type="dxa"/>
              <w:bottom w:w="120" w:type="dxa"/>
              <w:right w:w="180" w:type="dxa"/>
            </w:tcMar>
            <w:hideMark/>
          </w:tcPr>
          <w:p w14:paraId="44269F1E" w14:textId="77777777" w:rsidR="002F1769" w:rsidRPr="002F1769" w:rsidRDefault="002F1769" w:rsidP="002F1769">
            <w:r w:rsidRPr="002F1769">
              <w:t>Source</w:t>
            </w:r>
          </w:p>
        </w:tc>
      </w:tr>
      <w:tr w:rsidR="002F1769" w:rsidRPr="002F1769" w14:paraId="38D1E2D5" w14:textId="77777777">
        <w:trPr>
          <w:tblCellSpacing w:w="15" w:type="dxa"/>
        </w:trPr>
        <w:tc>
          <w:tcPr>
            <w:tcW w:w="0" w:type="auto"/>
            <w:shd w:val="clear" w:color="auto" w:fill="1B1B1B"/>
            <w:tcMar>
              <w:top w:w="120" w:type="dxa"/>
              <w:left w:w="180" w:type="dxa"/>
              <w:bottom w:w="120" w:type="dxa"/>
              <w:right w:w="180" w:type="dxa"/>
            </w:tcMar>
            <w:hideMark/>
          </w:tcPr>
          <w:p w14:paraId="2B052A48" w14:textId="77777777" w:rsidR="002F1769" w:rsidRPr="002F1769" w:rsidRDefault="002F1769" w:rsidP="002F1769">
            <w:r w:rsidRPr="002F1769">
              <w:rPr>
                <w:b/>
                <w:bCs/>
              </w:rPr>
              <w:t>Total Working Capacity</w:t>
            </w:r>
          </w:p>
        </w:tc>
        <w:tc>
          <w:tcPr>
            <w:tcW w:w="0" w:type="auto"/>
            <w:shd w:val="clear" w:color="auto" w:fill="1B1B1B"/>
            <w:tcMar>
              <w:top w:w="120" w:type="dxa"/>
              <w:left w:w="180" w:type="dxa"/>
              <w:bottom w:w="120" w:type="dxa"/>
              <w:right w:w="180" w:type="dxa"/>
            </w:tcMar>
            <w:hideMark/>
          </w:tcPr>
          <w:p w14:paraId="0033D19E" w14:textId="77777777" w:rsidR="002F1769" w:rsidRPr="002F1769" w:rsidRDefault="002F1769" w:rsidP="002F1769">
            <w:r w:rsidRPr="002F1769">
              <w:t xml:space="preserve">76.6 </w:t>
            </w:r>
            <w:proofErr w:type="gramStart"/>
            <w:r w:rsidRPr="002F1769">
              <w:t>Million</w:t>
            </w:r>
            <w:proofErr w:type="gramEnd"/>
            <w:r w:rsidRPr="002F1769">
              <w:t xml:space="preserve"> Barrels</w:t>
            </w:r>
          </w:p>
        </w:tc>
        <w:tc>
          <w:tcPr>
            <w:tcW w:w="0" w:type="auto"/>
            <w:shd w:val="clear" w:color="auto" w:fill="1B1B1B"/>
            <w:tcMar>
              <w:top w:w="120" w:type="dxa"/>
              <w:left w:w="180" w:type="dxa"/>
              <w:bottom w:w="120" w:type="dxa"/>
              <w:right w:w="180" w:type="dxa"/>
            </w:tcMar>
            <w:hideMark/>
          </w:tcPr>
          <w:p w14:paraId="5EFD5C7C" w14:textId="77777777" w:rsidR="002F1769" w:rsidRPr="002F1769" w:rsidRDefault="002F1769" w:rsidP="002F1769"/>
        </w:tc>
      </w:tr>
      <w:tr w:rsidR="002F1769" w:rsidRPr="002F1769" w14:paraId="406EAB11" w14:textId="77777777">
        <w:trPr>
          <w:tblCellSpacing w:w="15" w:type="dxa"/>
        </w:trPr>
        <w:tc>
          <w:tcPr>
            <w:tcW w:w="0" w:type="auto"/>
            <w:shd w:val="clear" w:color="auto" w:fill="1B1B1B"/>
            <w:tcMar>
              <w:top w:w="120" w:type="dxa"/>
              <w:left w:w="180" w:type="dxa"/>
              <w:bottom w:w="120" w:type="dxa"/>
              <w:right w:w="180" w:type="dxa"/>
            </w:tcMar>
            <w:hideMark/>
          </w:tcPr>
          <w:p w14:paraId="66F7C8D0" w14:textId="77777777" w:rsidR="002F1769" w:rsidRPr="002F1769" w:rsidRDefault="002F1769" w:rsidP="002F1769">
            <w:r w:rsidRPr="002F1769">
              <w:rPr>
                <w:b/>
                <w:bCs/>
              </w:rPr>
              <w:t>Typical Utilization Range</w:t>
            </w:r>
          </w:p>
        </w:tc>
        <w:tc>
          <w:tcPr>
            <w:tcW w:w="0" w:type="auto"/>
            <w:shd w:val="clear" w:color="auto" w:fill="1B1B1B"/>
            <w:tcMar>
              <w:top w:w="120" w:type="dxa"/>
              <w:left w:w="180" w:type="dxa"/>
              <w:bottom w:w="120" w:type="dxa"/>
              <w:right w:w="180" w:type="dxa"/>
            </w:tcMar>
            <w:hideMark/>
          </w:tcPr>
          <w:p w14:paraId="4ADFBFAF" w14:textId="77777777" w:rsidR="002F1769" w:rsidRPr="002F1769" w:rsidRDefault="002F1769" w:rsidP="002F1769">
            <w:r w:rsidRPr="002F1769">
              <w:t>25% – 75%</w:t>
            </w:r>
          </w:p>
        </w:tc>
        <w:tc>
          <w:tcPr>
            <w:tcW w:w="0" w:type="auto"/>
            <w:shd w:val="clear" w:color="auto" w:fill="1B1B1B"/>
            <w:tcMar>
              <w:top w:w="120" w:type="dxa"/>
              <w:left w:w="180" w:type="dxa"/>
              <w:bottom w:w="120" w:type="dxa"/>
              <w:right w:w="180" w:type="dxa"/>
            </w:tcMar>
            <w:hideMark/>
          </w:tcPr>
          <w:p w14:paraId="04C97A8A" w14:textId="77777777" w:rsidR="002F1769" w:rsidRPr="002F1769" w:rsidRDefault="002F1769" w:rsidP="002F1769"/>
        </w:tc>
      </w:tr>
      <w:tr w:rsidR="002F1769" w:rsidRPr="002F1769" w14:paraId="32DBACDD" w14:textId="77777777">
        <w:trPr>
          <w:tblCellSpacing w:w="15" w:type="dxa"/>
        </w:trPr>
        <w:tc>
          <w:tcPr>
            <w:tcW w:w="0" w:type="auto"/>
            <w:shd w:val="clear" w:color="auto" w:fill="1B1B1B"/>
            <w:tcMar>
              <w:top w:w="120" w:type="dxa"/>
              <w:left w:w="180" w:type="dxa"/>
              <w:bottom w:w="120" w:type="dxa"/>
              <w:right w:w="180" w:type="dxa"/>
            </w:tcMar>
            <w:hideMark/>
          </w:tcPr>
          <w:p w14:paraId="70A58816" w14:textId="77777777" w:rsidR="002F1769" w:rsidRPr="002F1769" w:rsidRDefault="002F1769" w:rsidP="002F1769">
            <w:r w:rsidRPr="002F1769">
              <w:rPr>
                <w:b/>
                <w:bCs/>
              </w:rPr>
              <w:t>Critical "Tank Bottoms" Level</w:t>
            </w:r>
          </w:p>
        </w:tc>
        <w:tc>
          <w:tcPr>
            <w:tcW w:w="0" w:type="auto"/>
            <w:shd w:val="clear" w:color="auto" w:fill="1B1B1B"/>
            <w:tcMar>
              <w:top w:w="120" w:type="dxa"/>
              <w:left w:w="180" w:type="dxa"/>
              <w:bottom w:w="120" w:type="dxa"/>
              <w:right w:w="180" w:type="dxa"/>
            </w:tcMar>
            <w:hideMark/>
          </w:tcPr>
          <w:p w14:paraId="196296D3" w14:textId="77777777" w:rsidR="002F1769" w:rsidRPr="002F1769" w:rsidRDefault="002F1769" w:rsidP="002F1769">
            <w:r w:rsidRPr="002F1769">
              <w:t xml:space="preserve">~20 </w:t>
            </w:r>
            <w:proofErr w:type="gramStart"/>
            <w:r w:rsidRPr="002F1769">
              <w:t>Million</w:t>
            </w:r>
            <w:proofErr w:type="gramEnd"/>
            <w:r w:rsidRPr="002F1769">
              <w:t xml:space="preserve"> Barrels</w:t>
            </w:r>
          </w:p>
        </w:tc>
        <w:tc>
          <w:tcPr>
            <w:tcW w:w="0" w:type="auto"/>
            <w:shd w:val="clear" w:color="auto" w:fill="1B1B1B"/>
            <w:tcMar>
              <w:top w:w="120" w:type="dxa"/>
              <w:left w:w="180" w:type="dxa"/>
              <w:bottom w:w="120" w:type="dxa"/>
              <w:right w:w="180" w:type="dxa"/>
            </w:tcMar>
            <w:hideMark/>
          </w:tcPr>
          <w:p w14:paraId="7640E69B" w14:textId="77777777" w:rsidR="002F1769" w:rsidRPr="002F1769" w:rsidRDefault="002F1769" w:rsidP="002F1769"/>
        </w:tc>
      </w:tr>
      <w:tr w:rsidR="002F1769" w:rsidRPr="002F1769" w14:paraId="2611E7E5" w14:textId="77777777">
        <w:trPr>
          <w:tblCellSpacing w:w="15" w:type="dxa"/>
        </w:trPr>
        <w:tc>
          <w:tcPr>
            <w:tcW w:w="0" w:type="auto"/>
            <w:shd w:val="clear" w:color="auto" w:fill="1B1B1B"/>
            <w:tcMar>
              <w:top w:w="120" w:type="dxa"/>
              <w:left w:w="180" w:type="dxa"/>
              <w:bottom w:w="120" w:type="dxa"/>
              <w:right w:w="180" w:type="dxa"/>
            </w:tcMar>
            <w:hideMark/>
          </w:tcPr>
          <w:p w14:paraId="30836B22" w14:textId="77777777" w:rsidR="002F1769" w:rsidRPr="002F1769" w:rsidRDefault="002F1769" w:rsidP="002F1769">
            <w:r w:rsidRPr="002F1769">
              <w:rPr>
                <w:b/>
                <w:bCs/>
              </w:rPr>
              <w:t>Daily Pipeline Throughput</w:t>
            </w:r>
          </w:p>
        </w:tc>
        <w:tc>
          <w:tcPr>
            <w:tcW w:w="0" w:type="auto"/>
            <w:shd w:val="clear" w:color="auto" w:fill="1B1B1B"/>
            <w:tcMar>
              <w:top w:w="120" w:type="dxa"/>
              <w:left w:w="180" w:type="dxa"/>
              <w:bottom w:w="120" w:type="dxa"/>
              <w:right w:w="180" w:type="dxa"/>
            </w:tcMar>
            <w:hideMark/>
          </w:tcPr>
          <w:p w14:paraId="3CB1D0D1" w14:textId="77777777" w:rsidR="002F1769" w:rsidRPr="002F1769" w:rsidRDefault="002F1769" w:rsidP="002F1769">
            <w:r w:rsidRPr="002F1769">
              <w:t xml:space="preserve">&gt;6.5 </w:t>
            </w:r>
            <w:proofErr w:type="gramStart"/>
            <w:r w:rsidRPr="002F1769">
              <w:t>Million</w:t>
            </w:r>
            <w:proofErr w:type="gramEnd"/>
            <w:r w:rsidRPr="002F1769">
              <w:t xml:space="preserve"> Barrels</w:t>
            </w:r>
          </w:p>
        </w:tc>
        <w:tc>
          <w:tcPr>
            <w:tcW w:w="0" w:type="auto"/>
            <w:shd w:val="clear" w:color="auto" w:fill="1B1B1B"/>
            <w:tcMar>
              <w:top w:w="120" w:type="dxa"/>
              <w:left w:w="180" w:type="dxa"/>
              <w:bottom w:w="120" w:type="dxa"/>
              <w:right w:w="180" w:type="dxa"/>
            </w:tcMar>
            <w:hideMark/>
          </w:tcPr>
          <w:p w14:paraId="0CA4B71F" w14:textId="77777777" w:rsidR="002F1769" w:rsidRPr="002F1769" w:rsidRDefault="002F1769" w:rsidP="002F1769"/>
        </w:tc>
      </w:tr>
    </w:tbl>
    <w:p w14:paraId="17FA088C" w14:textId="77777777" w:rsidR="002F1769" w:rsidRPr="002F1769" w:rsidRDefault="002F1769" w:rsidP="002F1769">
      <w:r w:rsidRPr="002F1769">
        <w:t>  </w:t>
      </w:r>
    </w:p>
    <w:p w14:paraId="6E2699DB" w14:textId="77777777" w:rsidR="002F1769" w:rsidRPr="002F1769" w:rsidRDefault="002F1769" w:rsidP="002F1769">
      <w:r w:rsidRPr="002F1769">
        <w:t>The EIA defines "working storage" as the volume between the maximum safe fill capacity and the quantity below which pump suction becomes ineffective. When Cushing inventories approach the 20-million-barrel "tank bottoms" level, the physical ability to deliver oil against futures contracts is compromised, often leading to extreme price volatility and a state of "backwardation" (where immediate spot prices are much higher than future prices). Conversely, when inventories near capacity, the market shifts into "contango," encouraging traders to buy oil and store it for future sale.   </w:t>
      </w:r>
    </w:p>
    <w:p w14:paraId="59E94CD6" w14:textId="77777777" w:rsidR="002F1769" w:rsidRPr="002F1769" w:rsidRDefault="002F1769" w:rsidP="002F1769">
      <w:pPr>
        <w:rPr>
          <w:b/>
          <w:bCs/>
        </w:rPr>
      </w:pPr>
      <w:r w:rsidRPr="002F1769">
        <w:rPr>
          <w:b/>
          <w:bCs/>
        </w:rPr>
        <w:t>Physical Mechanisms of WTI Delivery</w:t>
      </w:r>
    </w:p>
    <w:p w14:paraId="66358555" w14:textId="77777777" w:rsidR="002F1769" w:rsidRPr="002F1769" w:rsidRDefault="002F1769" w:rsidP="002F1769">
      <w:r w:rsidRPr="002F1769">
        <w:t>Delivery at Cushing is managed by nearly two dozen pipelines and 15 major terminals. This infrastructure allows for the "common stream" of light sweet crude grades to be delivered to satisfy NYMEX contracts. Key systems such as the Diamond Pipeline (Cushing to Memphis) and the Keystone system (Alberta to Cushing and onward to the Gulf Coast) ensure that Cushing remains the central clearinghouse for both domestic shale and imported Canadian oil.   </w:t>
      </w:r>
    </w:p>
    <w:p w14:paraId="2E48F4AF" w14:textId="77777777" w:rsidR="002F1769" w:rsidRPr="002F1769" w:rsidRDefault="002F1769" w:rsidP="002F1769">
      <w:r w:rsidRPr="002F1769">
        <w:t>The physics of storage at Cushing involve complex manifold systems. Because the hub is a transfer point, a significant amount of oil is "in transit" or "pipeline fill." In a typical week, approximately 2.5 million barrels are classified as being in pipes or in transit, and are thus excluded from official inventory reports that focus on working storage.   </w:t>
      </w:r>
    </w:p>
    <w:p w14:paraId="3FDF9924" w14:textId="77777777" w:rsidR="002F1769" w:rsidRPr="002F1769" w:rsidRDefault="002F1769" w:rsidP="002F1769">
      <w:pPr>
        <w:rPr>
          <w:b/>
          <w:bCs/>
        </w:rPr>
      </w:pPr>
      <w:r w:rsidRPr="002F1769">
        <w:rPr>
          <w:b/>
          <w:bCs/>
        </w:rPr>
        <w:t>Visual Recommendation: The WTI Price-Inventory Dashboard</w:t>
      </w:r>
    </w:p>
    <w:p w14:paraId="0002E36E" w14:textId="77777777" w:rsidR="002F1769" w:rsidRPr="002F1769" w:rsidRDefault="002F1769" w:rsidP="002F1769">
      <w:r w:rsidRPr="002F1769">
        <w:t>An educational graphic for the website should feature a dual-axis chart showing Cushing inventory levels against the WTI spot price over a five-year period.</w:t>
      </w:r>
    </w:p>
    <w:p w14:paraId="09DBB547" w14:textId="77777777" w:rsidR="002F1769" w:rsidRPr="002F1769" w:rsidRDefault="002F1769" w:rsidP="002F1769">
      <w:pPr>
        <w:numPr>
          <w:ilvl w:val="0"/>
          <w:numId w:val="2"/>
        </w:numPr>
      </w:pPr>
      <w:r w:rsidRPr="002F1769">
        <w:rPr>
          <w:b/>
          <w:bCs/>
        </w:rPr>
        <w:t>Visual Elements</w:t>
      </w:r>
      <w:r w:rsidRPr="002F1769">
        <w:t>: Use a "tank" graphic that fills or empties based on EIA weekly data.</w:t>
      </w:r>
    </w:p>
    <w:p w14:paraId="4CC60EC1" w14:textId="77777777" w:rsidR="002F1769" w:rsidRPr="002F1769" w:rsidRDefault="002F1769" w:rsidP="002F1769">
      <w:pPr>
        <w:numPr>
          <w:ilvl w:val="0"/>
          <w:numId w:val="2"/>
        </w:numPr>
      </w:pPr>
      <w:r w:rsidRPr="002F1769">
        <w:rPr>
          <w:b/>
          <w:bCs/>
        </w:rPr>
        <w:t>Insights</w:t>
      </w:r>
      <w:r w:rsidRPr="002F1769">
        <w:t>: Annotate historical events, such as the April 2020 negative price event or the 2021 drawdowns, where inventories fell 40% from the start of the year.   </w:t>
      </w:r>
    </w:p>
    <w:p w14:paraId="6530DEFF" w14:textId="77777777" w:rsidR="002F1769" w:rsidRPr="002F1769" w:rsidRDefault="002F1769" w:rsidP="002F1769">
      <w:pPr>
        <w:numPr>
          <w:ilvl w:val="0"/>
          <w:numId w:val="2"/>
        </w:numPr>
      </w:pPr>
      <w:r w:rsidRPr="002F1769">
        <w:rPr>
          <w:b/>
          <w:bCs/>
        </w:rPr>
        <w:t>Mechanics</w:t>
      </w:r>
      <w:r w:rsidRPr="002F1769">
        <w:t>: A 3D animation showing how oil is "switched" from an inbound Keystone pipe to an outbound Gulf Coast pipe within the Cushing manifold.   </w:t>
      </w:r>
    </w:p>
    <w:p w14:paraId="1EE7B80D" w14:textId="77777777" w:rsidR="002F1769" w:rsidRPr="002F1769" w:rsidRDefault="002F1769" w:rsidP="002F1769">
      <w:pPr>
        <w:rPr>
          <w:b/>
          <w:bCs/>
        </w:rPr>
      </w:pPr>
      <w:r w:rsidRPr="002F1769">
        <w:rPr>
          <w:b/>
          <w:bCs/>
        </w:rPr>
        <w:t>Natural Gas Storage: The Dawn Hub and Eastern Reliability</w:t>
      </w:r>
    </w:p>
    <w:p w14:paraId="3A8C9547" w14:textId="77777777" w:rsidR="002F1769" w:rsidRPr="002F1769" w:rsidRDefault="002F1769" w:rsidP="002F1769">
      <w:r w:rsidRPr="002F1769">
        <w:lastRenderedPageBreak/>
        <w:t>While crude oil is measured in barrels, natural gas is managed through vast underground formations measured in billions of cubic feet (Bcf). In Canada, the Dawn Hub in Ontario is the preeminent facility for natural gas storage, vital for maintaining winter heating reliability in the populous East.   </w:t>
      </w:r>
    </w:p>
    <w:p w14:paraId="3E47945E" w14:textId="77777777" w:rsidR="002F1769" w:rsidRPr="002F1769" w:rsidRDefault="002F1769" w:rsidP="002F1769">
      <w:pPr>
        <w:rPr>
          <w:b/>
          <w:bCs/>
        </w:rPr>
      </w:pPr>
      <w:r w:rsidRPr="002F1769">
        <w:rPr>
          <w:b/>
          <w:bCs/>
        </w:rPr>
        <w:t>Geological Foundations: Depleted Reservoirs vs. Salt Caverns</w:t>
      </w:r>
    </w:p>
    <w:p w14:paraId="5B13B03D" w14:textId="77777777" w:rsidR="002F1769" w:rsidRPr="002F1769" w:rsidRDefault="002F1769" w:rsidP="002F1769">
      <w:r w:rsidRPr="002F1769">
        <w:t>The North American natural gas system utilizes three primary types of underground storage: depleted reservoirs, salt caverns, and aquifers. Each has distinct technical and economic characteristics.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047"/>
        <w:gridCol w:w="4843"/>
        <w:gridCol w:w="4584"/>
        <w:gridCol w:w="2916"/>
      </w:tblGrid>
      <w:tr w:rsidR="002F1769" w:rsidRPr="002F1769" w14:paraId="15C450E8" w14:textId="77777777">
        <w:trPr>
          <w:tblHeader/>
          <w:tblCellSpacing w:w="15" w:type="dxa"/>
        </w:trPr>
        <w:tc>
          <w:tcPr>
            <w:tcW w:w="0" w:type="auto"/>
            <w:shd w:val="clear" w:color="auto" w:fill="282A2C"/>
            <w:tcMar>
              <w:top w:w="120" w:type="dxa"/>
              <w:left w:w="180" w:type="dxa"/>
              <w:bottom w:w="120" w:type="dxa"/>
              <w:right w:w="180" w:type="dxa"/>
            </w:tcMar>
            <w:hideMark/>
          </w:tcPr>
          <w:p w14:paraId="1D5D090D" w14:textId="77777777" w:rsidR="002F1769" w:rsidRPr="002F1769" w:rsidRDefault="002F1769" w:rsidP="002F1769">
            <w:r w:rsidRPr="002F1769">
              <w:t>Storage Type</w:t>
            </w:r>
          </w:p>
        </w:tc>
        <w:tc>
          <w:tcPr>
            <w:tcW w:w="0" w:type="auto"/>
            <w:shd w:val="clear" w:color="auto" w:fill="282A2C"/>
            <w:tcMar>
              <w:top w:w="120" w:type="dxa"/>
              <w:left w:w="180" w:type="dxa"/>
              <w:bottom w:w="120" w:type="dxa"/>
              <w:right w:w="180" w:type="dxa"/>
            </w:tcMar>
            <w:hideMark/>
          </w:tcPr>
          <w:p w14:paraId="1530F8FD" w14:textId="77777777" w:rsidR="002F1769" w:rsidRPr="002F1769" w:rsidRDefault="002F1769" w:rsidP="002F1769">
            <w:r w:rsidRPr="002F1769">
              <w:t>Characteristics</w:t>
            </w:r>
          </w:p>
        </w:tc>
        <w:tc>
          <w:tcPr>
            <w:tcW w:w="0" w:type="auto"/>
            <w:shd w:val="clear" w:color="auto" w:fill="282A2C"/>
            <w:tcMar>
              <w:top w:w="120" w:type="dxa"/>
              <w:left w:w="180" w:type="dxa"/>
              <w:bottom w:w="120" w:type="dxa"/>
              <w:right w:w="180" w:type="dxa"/>
            </w:tcMar>
            <w:hideMark/>
          </w:tcPr>
          <w:p w14:paraId="12CCBD68" w14:textId="77777777" w:rsidR="002F1769" w:rsidRPr="002F1769" w:rsidRDefault="002F1769" w:rsidP="002F1769">
            <w:r w:rsidRPr="002F1769">
              <w:t>Regional Dominance</w:t>
            </w:r>
          </w:p>
        </w:tc>
        <w:tc>
          <w:tcPr>
            <w:tcW w:w="0" w:type="auto"/>
            <w:shd w:val="clear" w:color="auto" w:fill="282A2C"/>
            <w:tcMar>
              <w:top w:w="120" w:type="dxa"/>
              <w:left w:w="180" w:type="dxa"/>
              <w:bottom w:w="120" w:type="dxa"/>
              <w:right w:w="180" w:type="dxa"/>
            </w:tcMar>
            <w:hideMark/>
          </w:tcPr>
          <w:p w14:paraId="538AFACC" w14:textId="77777777" w:rsidR="002F1769" w:rsidRPr="002F1769" w:rsidRDefault="002F1769" w:rsidP="002F1769">
            <w:r w:rsidRPr="002F1769">
              <w:t>Cycling Capacity</w:t>
            </w:r>
          </w:p>
        </w:tc>
      </w:tr>
      <w:tr w:rsidR="002F1769" w:rsidRPr="002F1769" w14:paraId="7CC1E24C" w14:textId="77777777">
        <w:trPr>
          <w:tblCellSpacing w:w="15" w:type="dxa"/>
        </w:trPr>
        <w:tc>
          <w:tcPr>
            <w:tcW w:w="0" w:type="auto"/>
            <w:shd w:val="clear" w:color="auto" w:fill="1B1B1B"/>
            <w:tcMar>
              <w:top w:w="120" w:type="dxa"/>
              <w:left w:w="180" w:type="dxa"/>
              <w:bottom w:w="120" w:type="dxa"/>
              <w:right w:w="180" w:type="dxa"/>
            </w:tcMar>
            <w:hideMark/>
          </w:tcPr>
          <w:p w14:paraId="2760A43B" w14:textId="77777777" w:rsidR="002F1769" w:rsidRPr="002F1769" w:rsidRDefault="002F1769" w:rsidP="002F1769">
            <w:r w:rsidRPr="002F1769">
              <w:rPr>
                <w:b/>
                <w:bCs/>
              </w:rPr>
              <w:t>Depleted Reservoirs</w:t>
            </w:r>
          </w:p>
        </w:tc>
        <w:tc>
          <w:tcPr>
            <w:tcW w:w="0" w:type="auto"/>
            <w:shd w:val="clear" w:color="auto" w:fill="1B1B1B"/>
            <w:tcMar>
              <w:top w:w="120" w:type="dxa"/>
              <w:left w:w="180" w:type="dxa"/>
              <w:bottom w:w="120" w:type="dxa"/>
              <w:right w:w="180" w:type="dxa"/>
            </w:tcMar>
            <w:hideMark/>
          </w:tcPr>
          <w:p w14:paraId="41893E01" w14:textId="77777777" w:rsidR="002F1769" w:rsidRPr="002F1769" w:rsidRDefault="002F1769" w:rsidP="002F1769">
            <w:r w:rsidRPr="002F1769">
              <w:t>Porous rock once containing gas/oil</w:t>
            </w:r>
          </w:p>
        </w:tc>
        <w:tc>
          <w:tcPr>
            <w:tcW w:w="0" w:type="auto"/>
            <w:shd w:val="clear" w:color="auto" w:fill="1B1B1B"/>
            <w:tcMar>
              <w:top w:w="120" w:type="dxa"/>
              <w:left w:w="180" w:type="dxa"/>
              <w:bottom w:w="120" w:type="dxa"/>
              <w:right w:w="180" w:type="dxa"/>
            </w:tcMar>
            <w:hideMark/>
          </w:tcPr>
          <w:p w14:paraId="491C8CA5" w14:textId="77777777" w:rsidR="002F1769" w:rsidRPr="002F1769" w:rsidRDefault="002F1769" w:rsidP="002F1769">
            <w:r w:rsidRPr="002F1769">
              <w:t>Ontario (Dawn Hub), Midwest US</w:t>
            </w:r>
          </w:p>
        </w:tc>
        <w:tc>
          <w:tcPr>
            <w:tcW w:w="0" w:type="auto"/>
            <w:shd w:val="clear" w:color="auto" w:fill="1B1B1B"/>
            <w:tcMar>
              <w:top w:w="120" w:type="dxa"/>
              <w:left w:w="180" w:type="dxa"/>
              <w:bottom w:w="120" w:type="dxa"/>
              <w:right w:w="180" w:type="dxa"/>
            </w:tcMar>
            <w:hideMark/>
          </w:tcPr>
          <w:p w14:paraId="674C7F70" w14:textId="77777777" w:rsidR="002F1769" w:rsidRPr="002F1769" w:rsidRDefault="002F1769" w:rsidP="002F1769">
            <w:r w:rsidRPr="002F1769">
              <w:t xml:space="preserve">1-2 times per year </w:t>
            </w:r>
          </w:p>
        </w:tc>
      </w:tr>
      <w:tr w:rsidR="002F1769" w:rsidRPr="002F1769" w14:paraId="528DF377" w14:textId="77777777">
        <w:trPr>
          <w:tblCellSpacing w:w="15" w:type="dxa"/>
        </w:trPr>
        <w:tc>
          <w:tcPr>
            <w:tcW w:w="0" w:type="auto"/>
            <w:shd w:val="clear" w:color="auto" w:fill="1B1B1B"/>
            <w:tcMar>
              <w:top w:w="120" w:type="dxa"/>
              <w:left w:w="180" w:type="dxa"/>
              <w:bottom w:w="120" w:type="dxa"/>
              <w:right w:w="180" w:type="dxa"/>
            </w:tcMar>
            <w:hideMark/>
          </w:tcPr>
          <w:p w14:paraId="35136C0E" w14:textId="77777777" w:rsidR="002F1769" w:rsidRPr="002F1769" w:rsidRDefault="002F1769" w:rsidP="002F1769">
            <w:r w:rsidRPr="002F1769">
              <w:rPr>
                <w:b/>
                <w:bCs/>
              </w:rPr>
              <w:t>Salt Caverns</w:t>
            </w:r>
          </w:p>
        </w:tc>
        <w:tc>
          <w:tcPr>
            <w:tcW w:w="0" w:type="auto"/>
            <w:shd w:val="clear" w:color="auto" w:fill="1B1B1B"/>
            <w:tcMar>
              <w:top w:w="120" w:type="dxa"/>
              <w:left w:w="180" w:type="dxa"/>
              <w:bottom w:w="120" w:type="dxa"/>
              <w:right w:w="180" w:type="dxa"/>
            </w:tcMar>
            <w:hideMark/>
          </w:tcPr>
          <w:p w14:paraId="45252509" w14:textId="77777777" w:rsidR="002F1769" w:rsidRPr="002F1769" w:rsidRDefault="002F1769" w:rsidP="002F1769">
            <w:r w:rsidRPr="002F1769">
              <w:t>Solution-mined in salt domes/beds</w:t>
            </w:r>
          </w:p>
        </w:tc>
        <w:tc>
          <w:tcPr>
            <w:tcW w:w="0" w:type="auto"/>
            <w:shd w:val="clear" w:color="auto" w:fill="1B1B1B"/>
            <w:tcMar>
              <w:top w:w="120" w:type="dxa"/>
              <w:left w:w="180" w:type="dxa"/>
              <w:bottom w:w="120" w:type="dxa"/>
              <w:right w:w="180" w:type="dxa"/>
            </w:tcMar>
            <w:hideMark/>
          </w:tcPr>
          <w:p w14:paraId="3D0A9CD7" w14:textId="77777777" w:rsidR="002F1769" w:rsidRPr="002F1769" w:rsidRDefault="002F1769" w:rsidP="002F1769">
            <w:r w:rsidRPr="002F1769">
              <w:t>US Gulf Coast, Southwest</w:t>
            </w:r>
          </w:p>
        </w:tc>
        <w:tc>
          <w:tcPr>
            <w:tcW w:w="0" w:type="auto"/>
            <w:shd w:val="clear" w:color="auto" w:fill="1B1B1B"/>
            <w:tcMar>
              <w:top w:w="120" w:type="dxa"/>
              <w:left w:w="180" w:type="dxa"/>
              <w:bottom w:w="120" w:type="dxa"/>
              <w:right w:w="180" w:type="dxa"/>
            </w:tcMar>
            <w:hideMark/>
          </w:tcPr>
          <w:p w14:paraId="5B2FC463" w14:textId="77777777" w:rsidR="002F1769" w:rsidRPr="002F1769" w:rsidRDefault="002F1769" w:rsidP="002F1769">
            <w:r w:rsidRPr="002F1769">
              <w:t xml:space="preserve">6-12 times per year </w:t>
            </w:r>
          </w:p>
        </w:tc>
      </w:tr>
      <w:tr w:rsidR="002F1769" w:rsidRPr="002F1769" w14:paraId="3D86A208" w14:textId="77777777">
        <w:trPr>
          <w:tblCellSpacing w:w="15" w:type="dxa"/>
        </w:trPr>
        <w:tc>
          <w:tcPr>
            <w:tcW w:w="0" w:type="auto"/>
            <w:shd w:val="clear" w:color="auto" w:fill="1B1B1B"/>
            <w:tcMar>
              <w:top w:w="120" w:type="dxa"/>
              <w:left w:w="180" w:type="dxa"/>
              <w:bottom w:w="120" w:type="dxa"/>
              <w:right w:w="180" w:type="dxa"/>
            </w:tcMar>
            <w:hideMark/>
          </w:tcPr>
          <w:p w14:paraId="2AC1EC7B" w14:textId="77777777" w:rsidR="002F1769" w:rsidRPr="002F1769" w:rsidRDefault="002F1769" w:rsidP="002F1769">
            <w:r w:rsidRPr="002F1769">
              <w:rPr>
                <w:b/>
                <w:bCs/>
              </w:rPr>
              <w:t>Aquifers</w:t>
            </w:r>
          </w:p>
        </w:tc>
        <w:tc>
          <w:tcPr>
            <w:tcW w:w="0" w:type="auto"/>
            <w:shd w:val="clear" w:color="auto" w:fill="1B1B1B"/>
            <w:tcMar>
              <w:top w:w="120" w:type="dxa"/>
              <w:left w:w="180" w:type="dxa"/>
              <w:bottom w:w="120" w:type="dxa"/>
              <w:right w:w="180" w:type="dxa"/>
            </w:tcMar>
            <w:hideMark/>
          </w:tcPr>
          <w:p w14:paraId="6C99F2C3" w14:textId="77777777" w:rsidR="002F1769" w:rsidRPr="002F1769" w:rsidRDefault="002F1769" w:rsidP="002F1769">
            <w:r w:rsidRPr="002F1769">
              <w:t>Water-bearing rock with caprock</w:t>
            </w:r>
          </w:p>
        </w:tc>
        <w:tc>
          <w:tcPr>
            <w:tcW w:w="0" w:type="auto"/>
            <w:shd w:val="clear" w:color="auto" w:fill="1B1B1B"/>
            <w:tcMar>
              <w:top w:w="120" w:type="dxa"/>
              <w:left w:w="180" w:type="dxa"/>
              <w:bottom w:w="120" w:type="dxa"/>
              <w:right w:w="180" w:type="dxa"/>
            </w:tcMar>
            <w:hideMark/>
          </w:tcPr>
          <w:p w14:paraId="69031900" w14:textId="77777777" w:rsidR="002F1769" w:rsidRPr="002F1769" w:rsidRDefault="002F1769" w:rsidP="002F1769">
            <w:r w:rsidRPr="002F1769">
              <w:t>US Midwest</w:t>
            </w:r>
          </w:p>
        </w:tc>
        <w:tc>
          <w:tcPr>
            <w:tcW w:w="0" w:type="auto"/>
            <w:shd w:val="clear" w:color="auto" w:fill="1B1B1B"/>
            <w:tcMar>
              <w:top w:w="120" w:type="dxa"/>
              <w:left w:w="180" w:type="dxa"/>
              <w:bottom w:w="120" w:type="dxa"/>
              <w:right w:w="180" w:type="dxa"/>
            </w:tcMar>
            <w:hideMark/>
          </w:tcPr>
          <w:p w14:paraId="36E30013" w14:textId="77777777" w:rsidR="002F1769" w:rsidRPr="002F1769" w:rsidRDefault="002F1769" w:rsidP="002F1769">
            <w:r w:rsidRPr="002F1769">
              <w:t xml:space="preserve">1 time per year </w:t>
            </w:r>
          </w:p>
        </w:tc>
      </w:tr>
    </w:tbl>
    <w:p w14:paraId="7102F188" w14:textId="77777777" w:rsidR="002F1769" w:rsidRPr="002F1769" w:rsidRDefault="002F1769" w:rsidP="002F1769">
      <w:r w:rsidRPr="002F1769">
        <w:t>  </w:t>
      </w:r>
    </w:p>
    <w:p w14:paraId="18F8EC70" w14:textId="77777777" w:rsidR="002F1769" w:rsidRPr="002F1769" w:rsidRDefault="002F1769" w:rsidP="002F1769">
      <w:r w:rsidRPr="002F1769">
        <w:t>The Dawn Hub primarily utilizes depleted reservoirs. Enbridge Gas operates 36 of these storage fields, providing a net working capacity of 285.8 Bcf. These facilities are regulated by the Ontario Energy Board (OEB) and the Ministry of Natural Resources and Forestry. Because these are depleted gas fields, they already possess the necessary caprock integrity and wellbore infrastructure to store gas under high pressure.   </w:t>
      </w:r>
    </w:p>
    <w:p w14:paraId="20934C3F" w14:textId="77777777" w:rsidR="002F1769" w:rsidRPr="002F1769" w:rsidRDefault="002F1769" w:rsidP="002F1769">
      <w:pPr>
        <w:rPr>
          <w:b/>
          <w:bCs/>
        </w:rPr>
      </w:pPr>
      <w:r w:rsidRPr="002F1769">
        <w:rPr>
          <w:b/>
          <w:bCs/>
        </w:rPr>
        <w:t>Operational Mechanics of the Dawn Hub</w:t>
      </w:r>
    </w:p>
    <w:p w14:paraId="4DE0D245" w14:textId="77777777" w:rsidR="002F1769" w:rsidRPr="002F1769" w:rsidRDefault="002F1769" w:rsidP="002F1769">
      <w:r w:rsidRPr="002F1769">
        <w:t>The Dawn Hub is an integrated storage and transmission system. It connects Western Canadian supply (via the TransCanada Mainline) with U.S. Appalachian supply (Marcellus/Utica). During the summer, gas is injected into the porous rock formations using massive compressors, such as those at the Corunna Compressor Station (CCS). During the winter peak, this gas is withdrawn to meet heating demand that often exceeds pipeline capacity.   </w:t>
      </w:r>
    </w:p>
    <w:p w14:paraId="44EF828C" w14:textId="77777777" w:rsidR="002F1769" w:rsidRPr="002F1769" w:rsidRDefault="002F1769" w:rsidP="002F1769">
      <w:r w:rsidRPr="002F1769">
        <w:t>The cost of this storage is a significant component of consumer bills. In Ontario, the OEB reviews and approves delivery costs, which include "load balancing" charges—the price of storing gas to ensure it is available when needed. Enbridge reviews these rates quarterly, adjusting for fluctuations in market prices and storage utilization.   </w:t>
      </w:r>
    </w:p>
    <w:p w14:paraId="33701AC3" w14:textId="77777777" w:rsidR="002F1769" w:rsidRPr="002F1769" w:rsidRDefault="002F1769" w:rsidP="002F1769">
      <w:pPr>
        <w:rPr>
          <w:b/>
          <w:bCs/>
        </w:rPr>
      </w:pPr>
      <w:r w:rsidRPr="002F1769">
        <w:rPr>
          <w:b/>
          <w:bCs/>
        </w:rPr>
        <w:t>Visual Recommendation: The Subsurface "Sponge" Model</w:t>
      </w:r>
    </w:p>
    <w:p w14:paraId="6EBF85E0" w14:textId="77777777" w:rsidR="002F1769" w:rsidRPr="002F1769" w:rsidRDefault="002F1769" w:rsidP="002F1769">
      <w:r w:rsidRPr="002F1769">
        <w:t>To teach users how gas is stored, a 3D geological cross-section of the Dawn Hub is required.</w:t>
      </w:r>
    </w:p>
    <w:p w14:paraId="447FD6D0" w14:textId="77777777" w:rsidR="002F1769" w:rsidRPr="002F1769" w:rsidRDefault="002F1769" w:rsidP="002F1769">
      <w:pPr>
        <w:numPr>
          <w:ilvl w:val="0"/>
          <w:numId w:val="3"/>
        </w:numPr>
      </w:pPr>
      <w:r w:rsidRPr="002F1769">
        <w:rPr>
          <w:b/>
          <w:bCs/>
        </w:rPr>
        <w:t>Visual Elements</w:t>
      </w:r>
      <w:r w:rsidRPr="002F1769">
        <w:t>: Show a 3D block of the earth. At the bottom, illustrate the porous sandstone reservoir (resembling a sponge) where gas is stored.</w:t>
      </w:r>
    </w:p>
    <w:p w14:paraId="7760CDE3" w14:textId="77777777" w:rsidR="002F1769" w:rsidRPr="002F1769" w:rsidRDefault="002F1769" w:rsidP="002F1769">
      <w:pPr>
        <w:numPr>
          <w:ilvl w:val="0"/>
          <w:numId w:val="3"/>
        </w:numPr>
      </w:pPr>
      <w:r w:rsidRPr="002F1769">
        <w:rPr>
          <w:b/>
          <w:bCs/>
        </w:rPr>
        <w:t>Mechanism</w:t>
      </w:r>
      <w:r w:rsidRPr="002F1769">
        <w:t>: Animate the gas molecules entering the pores and being held back by a thick, blue "caprock" layer.   </w:t>
      </w:r>
    </w:p>
    <w:p w14:paraId="57C785FC" w14:textId="77777777" w:rsidR="002F1769" w:rsidRPr="002F1769" w:rsidRDefault="002F1769" w:rsidP="002F1769">
      <w:pPr>
        <w:numPr>
          <w:ilvl w:val="0"/>
          <w:numId w:val="3"/>
        </w:numPr>
      </w:pPr>
      <w:r w:rsidRPr="002F1769">
        <w:rPr>
          <w:b/>
          <w:bCs/>
        </w:rPr>
        <w:lastRenderedPageBreak/>
        <w:t>Compression</w:t>
      </w:r>
      <w:r w:rsidRPr="002F1769">
        <w:t>: Show the surface infrastructure (compressors and pipelines) and how they use pressure differential to "push" gas into the rock.   </w:t>
      </w:r>
    </w:p>
    <w:p w14:paraId="1C6BEC97" w14:textId="77777777" w:rsidR="002F1769" w:rsidRPr="002F1769" w:rsidRDefault="002F1769" w:rsidP="002F1769">
      <w:pPr>
        <w:rPr>
          <w:b/>
          <w:bCs/>
        </w:rPr>
      </w:pPr>
      <w:r w:rsidRPr="002F1769">
        <w:rPr>
          <w:b/>
          <w:bCs/>
        </w:rPr>
        <w:t>Henry Hub: The Global Natural Gas Benchmark</w:t>
      </w:r>
    </w:p>
    <w:p w14:paraId="736020BD" w14:textId="77777777" w:rsidR="002F1769" w:rsidRPr="002F1769" w:rsidRDefault="002F1769" w:rsidP="002F1769">
      <w:r w:rsidRPr="002F1769">
        <w:t>Located in Erath, Louisiana, the Henry Hub is the natural gas counterpart to Cushing. It serves as the delivery point for NYMEX natural gas futures and is the primary pricing reference for North American and global LNG markets.   </w:t>
      </w:r>
    </w:p>
    <w:p w14:paraId="49D4E23A" w14:textId="77777777" w:rsidR="002F1769" w:rsidRPr="002F1769" w:rsidRDefault="002F1769" w:rsidP="002F1769">
      <w:pPr>
        <w:rPr>
          <w:b/>
          <w:bCs/>
        </w:rPr>
      </w:pPr>
      <w:r w:rsidRPr="002F1769">
        <w:rPr>
          <w:b/>
          <w:bCs/>
        </w:rPr>
        <w:t>Strategic Infrastructure and Pipeline Nexus</w:t>
      </w:r>
    </w:p>
    <w:p w14:paraId="06F7B6BF" w14:textId="77777777" w:rsidR="002F1769" w:rsidRPr="002F1769" w:rsidRDefault="002F1769" w:rsidP="002F1769">
      <w:r w:rsidRPr="002F1769">
        <w:t>The Henry Hub is interconnected with eight interstate pipelines and three intrastate pipelines, providing direct access to markets in the Midwest, Northeast, and Southeast. This connectivity is supported by its proximity to the Haynesville shale and offshore Gulf production.   </w:t>
      </w:r>
    </w:p>
    <w:p w14:paraId="682A7189" w14:textId="77777777" w:rsidR="002F1769" w:rsidRPr="002F1769" w:rsidRDefault="002F1769" w:rsidP="002F1769">
      <w:r w:rsidRPr="002F1769">
        <w:t>Unlike the Dawn Hub, the Henry Hub region relies heavily on salt cavern storage. These facilities, such as the Jefferson Island, Acadian, and Sorrento caverns, offer "high-deliverability" and "high-cycling" rates. Salt is self-sealing and impermeable, allowing for multiple injection and withdrawal cycles per year to respond to short-term price signals or weather-driven demand spikes.   </w:t>
      </w:r>
    </w:p>
    <w:p w14:paraId="3F527ECB" w14:textId="77777777" w:rsidR="002F1769" w:rsidRPr="002F1769" w:rsidRDefault="002F1769" w:rsidP="002F1769">
      <w:pPr>
        <w:rPr>
          <w:b/>
          <w:bCs/>
        </w:rPr>
      </w:pPr>
      <w:r w:rsidRPr="002F1769">
        <w:rPr>
          <w:b/>
          <w:bCs/>
        </w:rPr>
        <w:t>The Evolution of LNG Pricing</w:t>
      </w:r>
    </w:p>
    <w:p w14:paraId="5AD70C68" w14:textId="77777777" w:rsidR="002F1769" w:rsidRPr="002F1769" w:rsidRDefault="002F1769" w:rsidP="002F1769">
      <w:r w:rsidRPr="002F1769">
        <w:t>As the United States has become the world's largest LNG exporter, the Henry Hub has evolved into a global benchmark. Many international LNG contracts are now indexed to the Henry Hub price plus a fixed fee (often 115% of the Henry Hub price). This shift from traditional oil-indexation provides greater transparency and allows global buyers to benefit from the low production costs of North American shale.   </w:t>
      </w:r>
    </w:p>
    <w:p w14:paraId="0703E9BF" w14:textId="77777777" w:rsidR="002F1769" w:rsidRPr="002F1769" w:rsidRDefault="002F1769" w:rsidP="002F1769">
      <w:r w:rsidRPr="002F1769">
        <w:t xml:space="preserve">In 2024, the Henry Hub spot price averaged a historic low of $2.21 per MMBtu, driven by robust production and a mild winter. However, the EIA forecasts prices to rise toward $4.60 per MMBtu by 2027 as new LNG export facilities, such as Golden Pass and </w:t>
      </w:r>
      <w:proofErr w:type="spellStart"/>
      <w:r w:rsidRPr="002F1769">
        <w:t>Plaquemines</w:t>
      </w:r>
      <w:proofErr w:type="spellEnd"/>
      <w:r w:rsidRPr="002F1769">
        <w:t xml:space="preserve"> LNG, increase demand for "feed gas".   </w:t>
      </w:r>
    </w:p>
    <w:p w14:paraId="3C2AF072" w14:textId="77777777" w:rsidR="002F1769" w:rsidRPr="002F1769" w:rsidRDefault="002F1769" w:rsidP="002F1769">
      <w:pPr>
        <w:rPr>
          <w:b/>
          <w:bCs/>
        </w:rPr>
      </w:pPr>
      <w:r w:rsidRPr="002F1769">
        <w:rPr>
          <w:b/>
          <w:bCs/>
        </w:rPr>
        <w:t>Visual Recommendation: The LNG Chain Infographic</w:t>
      </w:r>
    </w:p>
    <w:p w14:paraId="565717C2" w14:textId="77777777" w:rsidR="002F1769" w:rsidRPr="002F1769" w:rsidRDefault="002F1769" w:rsidP="002F1769">
      <w:r w:rsidRPr="002F1769">
        <w:t>A flow chart showing the journey of a gas molecule from a well in Texas to the Henry Hub, then into a salt cavern, and finally to an LNG tanker for export to Europe or Asia.</w:t>
      </w:r>
    </w:p>
    <w:p w14:paraId="66375F37" w14:textId="77777777" w:rsidR="002F1769" w:rsidRPr="002F1769" w:rsidRDefault="002F1769" w:rsidP="002F1769">
      <w:pPr>
        <w:numPr>
          <w:ilvl w:val="0"/>
          <w:numId w:val="4"/>
        </w:numPr>
      </w:pPr>
      <w:r w:rsidRPr="002F1769">
        <w:rPr>
          <w:b/>
          <w:bCs/>
        </w:rPr>
        <w:t>Visual Elements</w:t>
      </w:r>
      <w:r w:rsidRPr="002F1769">
        <w:t>: Use 3D icons for the salt cavern, the liquefaction train, and the tanker.</w:t>
      </w:r>
    </w:p>
    <w:p w14:paraId="754CB6D7" w14:textId="77777777" w:rsidR="002F1769" w:rsidRPr="002F1769" w:rsidRDefault="002F1769" w:rsidP="002F1769">
      <w:pPr>
        <w:numPr>
          <w:ilvl w:val="0"/>
          <w:numId w:val="4"/>
        </w:numPr>
      </w:pPr>
      <w:r w:rsidRPr="002F1769">
        <w:rPr>
          <w:b/>
          <w:bCs/>
        </w:rPr>
        <w:t>Data Integration</w:t>
      </w:r>
      <w:r w:rsidRPr="002F1769">
        <w:t>: Display real-time (or near-real-time) Henry Hub prices compared to European (TTF) or Asian (JKM) prices to show the "arbitrage" opportunity that drives North American exports.   </w:t>
      </w:r>
    </w:p>
    <w:p w14:paraId="1B0F4B98" w14:textId="77777777" w:rsidR="002F1769" w:rsidRPr="002F1769" w:rsidRDefault="002F1769" w:rsidP="002F1769">
      <w:pPr>
        <w:rPr>
          <w:b/>
          <w:bCs/>
        </w:rPr>
      </w:pPr>
      <w:r w:rsidRPr="002F1769">
        <w:rPr>
          <w:b/>
          <w:bCs/>
        </w:rPr>
        <w:t>Continental Interdependence: The 2024-2025 Energy Landscape</w:t>
      </w:r>
    </w:p>
    <w:p w14:paraId="34D3D8DE" w14:textId="77777777" w:rsidR="002F1769" w:rsidRPr="002F1769" w:rsidRDefault="002F1769" w:rsidP="002F1769">
      <w:r w:rsidRPr="002F1769">
        <w:t>The energy relationship between Canada and the United States is the most comprehensive in the world, with two-way trade reaching CAD $216.8 billion in 2024. This relationship is governed by the United States-Mexico-Canada Agreement (USMCA) and is vital for North American energy security.   </w:t>
      </w:r>
    </w:p>
    <w:p w14:paraId="3E337D89" w14:textId="77777777" w:rsidR="002F1769" w:rsidRPr="002F1769" w:rsidRDefault="002F1769" w:rsidP="002F1769">
      <w:pPr>
        <w:rPr>
          <w:b/>
          <w:bCs/>
        </w:rPr>
      </w:pPr>
      <w:r w:rsidRPr="002F1769">
        <w:rPr>
          <w:b/>
          <w:bCs/>
        </w:rPr>
        <w:t>Trade Volumes and Hydrocarbon Flows</w:t>
      </w:r>
    </w:p>
    <w:p w14:paraId="5863D625" w14:textId="77777777" w:rsidR="002F1769" w:rsidRPr="002F1769" w:rsidRDefault="002F1769" w:rsidP="002F1769">
      <w:r w:rsidRPr="002F1769">
        <w:lastRenderedPageBreak/>
        <w:t>Canada is the single largest foreign supplier of energy to the United States. In 2024, Canada provided 70.2% of the total volume of hydrocarbons imported by the U.S., including 61.7% of its crude oil and nearly 100% of its natural gas imports.   </w:t>
      </w:r>
    </w:p>
    <w:tbl>
      <w:tblPr>
        <w:tblW w:w="15390" w:type="dxa"/>
        <w:tblCellMar>
          <w:top w:w="15" w:type="dxa"/>
          <w:left w:w="15" w:type="dxa"/>
          <w:bottom w:w="15" w:type="dxa"/>
          <w:right w:w="15" w:type="dxa"/>
        </w:tblCellMar>
        <w:tblLook w:val="04A0" w:firstRow="1" w:lastRow="0" w:firstColumn="1" w:lastColumn="0" w:noHBand="0" w:noVBand="1"/>
      </w:tblPr>
      <w:tblGrid>
        <w:gridCol w:w="4789"/>
        <w:gridCol w:w="4994"/>
        <w:gridCol w:w="5607"/>
      </w:tblGrid>
      <w:tr w:rsidR="002F1769" w:rsidRPr="002F1769" w14:paraId="2E930B09"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091B406E" w14:textId="77777777" w:rsidR="002F1769" w:rsidRPr="002F1769" w:rsidRDefault="002F1769" w:rsidP="002F1769">
            <w:r w:rsidRPr="002F1769">
              <w:t>Energy Product (2024)</w:t>
            </w:r>
          </w:p>
        </w:tc>
        <w:tc>
          <w:tcPr>
            <w:tcW w:w="0" w:type="auto"/>
            <w:tcBorders>
              <w:top w:val="nil"/>
              <w:left w:val="nil"/>
              <w:bottom w:val="single" w:sz="6" w:space="0" w:color="auto"/>
              <w:right w:val="nil"/>
            </w:tcBorders>
            <w:tcMar>
              <w:top w:w="240" w:type="dxa"/>
              <w:left w:w="0" w:type="dxa"/>
              <w:bottom w:w="240" w:type="dxa"/>
              <w:right w:w="0" w:type="dxa"/>
            </w:tcMar>
            <w:hideMark/>
          </w:tcPr>
          <w:p w14:paraId="75838084" w14:textId="77777777" w:rsidR="002F1769" w:rsidRPr="002F1769" w:rsidRDefault="002F1769" w:rsidP="002F1769">
            <w:r w:rsidRPr="002F1769">
              <w:t>Export Value to US (CAD)</w:t>
            </w:r>
          </w:p>
        </w:tc>
        <w:tc>
          <w:tcPr>
            <w:tcW w:w="0" w:type="auto"/>
            <w:tcBorders>
              <w:top w:val="nil"/>
              <w:left w:val="nil"/>
              <w:bottom w:val="single" w:sz="6" w:space="0" w:color="auto"/>
              <w:right w:val="nil"/>
            </w:tcBorders>
            <w:tcMar>
              <w:top w:w="240" w:type="dxa"/>
              <w:left w:w="0" w:type="dxa"/>
              <w:bottom w:w="240" w:type="dxa"/>
              <w:right w:w="0" w:type="dxa"/>
            </w:tcMar>
            <w:hideMark/>
          </w:tcPr>
          <w:p w14:paraId="50E64FDF" w14:textId="77777777" w:rsidR="002F1769" w:rsidRPr="002F1769" w:rsidRDefault="002F1769" w:rsidP="002F1769">
            <w:r w:rsidRPr="002F1769">
              <w:t>Import Value from US (CAD)</w:t>
            </w:r>
          </w:p>
        </w:tc>
      </w:tr>
      <w:tr w:rsidR="002F1769" w:rsidRPr="002F1769" w14:paraId="4120BC2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A1B16C2" w14:textId="77777777" w:rsidR="002F1769" w:rsidRPr="002F1769" w:rsidRDefault="002F1769" w:rsidP="002F1769">
            <w:r w:rsidRPr="002F1769">
              <w:t>Crude Oil</w:t>
            </w:r>
          </w:p>
        </w:tc>
        <w:tc>
          <w:tcPr>
            <w:tcW w:w="0" w:type="auto"/>
            <w:tcBorders>
              <w:top w:val="nil"/>
              <w:left w:val="nil"/>
              <w:bottom w:val="single" w:sz="6" w:space="0" w:color="auto"/>
              <w:right w:val="nil"/>
            </w:tcBorders>
            <w:tcMar>
              <w:top w:w="240" w:type="dxa"/>
              <w:left w:w="0" w:type="dxa"/>
              <w:bottom w:w="240" w:type="dxa"/>
              <w:right w:w="0" w:type="dxa"/>
            </w:tcMar>
            <w:hideMark/>
          </w:tcPr>
          <w:p w14:paraId="5C44FD0C" w14:textId="77777777" w:rsidR="002F1769" w:rsidRPr="002F1769" w:rsidRDefault="002F1769" w:rsidP="002F1769">
            <w:r w:rsidRPr="002F1769">
              <w:t>$115.3 Billion</w:t>
            </w:r>
          </w:p>
        </w:tc>
        <w:tc>
          <w:tcPr>
            <w:tcW w:w="0" w:type="auto"/>
            <w:tcBorders>
              <w:top w:val="nil"/>
              <w:left w:val="nil"/>
              <w:bottom w:val="single" w:sz="6" w:space="0" w:color="auto"/>
              <w:right w:val="nil"/>
            </w:tcBorders>
            <w:tcMar>
              <w:top w:w="240" w:type="dxa"/>
              <w:left w:w="0" w:type="dxa"/>
              <w:bottom w:w="240" w:type="dxa"/>
              <w:right w:w="0" w:type="dxa"/>
            </w:tcMar>
            <w:hideMark/>
          </w:tcPr>
          <w:p w14:paraId="5DAC96C4" w14:textId="77777777" w:rsidR="002F1769" w:rsidRPr="002F1769" w:rsidRDefault="002F1769" w:rsidP="002F1769">
            <w:r w:rsidRPr="002F1769">
              <w:t>$10.4 Billion</w:t>
            </w:r>
          </w:p>
        </w:tc>
      </w:tr>
      <w:tr w:rsidR="002F1769" w:rsidRPr="002F1769" w14:paraId="274860C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FDE69E0" w14:textId="77777777" w:rsidR="002F1769" w:rsidRPr="002F1769" w:rsidRDefault="002F1769" w:rsidP="002F1769">
            <w:r w:rsidRPr="002F1769">
              <w:t>Natural Gas</w:t>
            </w:r>
          </w:p>
        </w:tc>
        <w:tc>
          <w:tcPr>
            <w:tcW w:w="0" w:type="auto"/>
            <w:tcBorders>
              <w:top w:val="nil"/>
              <w:left w:val="nil"/>
              <w:bottom w:val="single" w:sz="6" w:space="0" w:color="auto"/>
              <w:right w:val="nil"/>
            </w:tcBorders>
            <w:tcMar>
              <w:top w:w="240" w:type="dxa"/>
              <w:left w:w="0" w:type="dxa"/>
              <w:bottom w:w="240" w:type="dxa"/>
              <w:right w:w="0" w:type="dxa"/>
            </w:tcMar>
            <w:hideMark/>
          </w:tcPr>
          <w:p w14:paraId="32908414" w14:textId="77777777" w:rsidR="002F1769" w:rsidRPr="002F1769" w:rsidRDefault="002F1769" w:rsidP="002F1769">
            <w:r w:rsidRPr="002F1769">
              <w:t>$39.7 Billion</w:t>
            </w:r>
          </w:p>
        </w:tc>
        <w:tc>
          <w:tcPr>
            <w:tcW w:w="0" w:type="auto"/>
            <w:tcBorders>
              <w:top w:val="nil"/>
              <w:left w:val="nil"/>
              <w:bottom w:val="single" w:sz="6" w:space="0" w:color="auto"/>
              <w:right w:val="nil"/>
            </w:tcBorders>
            <w:tcMar>
              <w:top w:w="240" w:type="dxa"/>
              <w:left w:w="0" w:type="dxa"/>
              <w:bottom w:w="240" w:type="dxa"/>
              <w:right w:w="0" w:type="dxa"/>
            </w:tcMar>
            <w:hideMark/>
          </w:tcPr>
          <w:p w14:paraId="6D27B49A" w14:textId="77777777" w:rsidR="002F1769" w:rsidRPr="002F1769" w:rsidRDefault="002F1769" w:rsidP="002F1769">
            <w:r w:rsidRPr="002F1769">
              <w:t>$9.4 Billion</w:t>
            </w:r>
          </w:p>
        </w:tc>
      </w:tr>
      <w:tr w:rsidR="002F1769" w:rsidRPr="002F1769" w14:paraId="71DB84CB"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EB543E7" w14:textId="77777777" w:rsidR="002F1769" w:rsidRPr="002F1769" w:rsidRDefault="002F1769" w:rsidP="002F1769">
            <w:r w:rsidRPr="002F1769">
              <w:t>Refined Products (RPPs)</w:t>
            </w:r>
          </w:p>
        </w:tc>
        <w:tc>
          <w:tcPr>
            <w:tcW w:w="0" w:type="auto"/>
            <w:tcBorders>
              <w:top w:val="nil"/>
              <w:left w:val="nil"/>
              <w:bottom w:val="single" w:sz="6" w:space="0" w:color="auto"/>
              <w:right w:val="nil"/>
            </w:tcBorders>
            <w:tcMar>
              <w:top w:w="240" w:type="dxa"/>
              <w:left w:w="0" w:type="dxa"/>
              <w:bottom w:w="240" w:type="dxa"/>
              <w:right w:w="0" w:type="dxa"/>
            </w:tcMar>
            <w:hideMark/>
          </w:tcPr>
          <w:p w14:paraId="2AFAC2B2" w14:textId="77777777" w:rsidR="002F1769" w:rsidRPr="002F1769" w:rsidRDefault="002F1769" w:rsidP="002F1769">
            <w:r w:rsidRPr="002F1769">
              <w:t>$9.8 Billion</w:t>
            </w:r>
          </w:p>
        </w:tc>
        <w:tc>
          <w:tcPr>
            <w:tcW w:w="0" w:type="auto"/>
            <w:tcBorders>
              <w:top w:val="nil"/>
              <w:left w:val="nil"/>
              <w:bottom w:val="single" w:sz="6" w:space="0" w:color="auto"/>
              <w:right w:val="nil"/>
            </w:tcBorders>
            <w:tcMar>
              <w:top w:w="240" w:type="dxa"/>
              <w:left w:w="0" w:type="dxa"/>
              <w:bottom w:w="240" w:type="dxa"/>
              <w:right w:w="0" w:type="dxa"/>
            </w:tcMar>
            <w:hideMark/>
          </w:tcPr>
          <w:p w14:paraId="710BEEF8" w14:textId="77777777" w:rsidR="002F1769" w:rsidRPr="002F1769" w:rsidRDefault="002F1769" w:rsidP="002F1769">
            <w:r w:rsidRPr="002F1769">
              <w:t>$10.8 Billion</w:t>
            </w:r>
          </w:p>
        </w:tc>
      </w:tr>
      <w:tr w:rsidR="002F1769" w:rsidRPr="002F1769" w14:paraId="2F526A37"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D8264BF" w14:textId="77777777" w:rsidR="002F1769" w:rsidRPr="002F1769" w:rsidRDefault="002F1769" w:rsidP="002F1769">
            <w:r w:rsidRPr="002F1769">
              <w:t>Electricity</w:t>
            </w:r>
          </w:p>
        </w:tc>
        <w:tc>
          <w:tcPr>
            <w:tcW w:w="0" w:type="auto"/>
            <w:tcBorders>
              <w:top w:val="nil"/>
              <w:left w:val="nil"/>
              <w:bottom w:val="single" w:sz="6" w:space="0" w:color="auto"/>
              <w:right w:val="nil"/>
            </w:tcBorders>
            <w:tcMar>
              <w:top w:w="240" w:type="dxa"/>
              <w:left w:w="0" w:type="dxa"/>
              <w:bottom w:w="240" w:type="dxa"/>
              <w:right w:w="0" w:type="dxa"/>
            </w:tcMar>
            <w:hideMark/>
          </w:tcPr>
          <w:p w14:paraId="5E5FB6BF" w14:textId="77777777" w:rsidR="002F1769" w:rsidRPr="002F1769" w:rsidRDefault="002F1769" w:rsidP="002F1769">
            <w:r w:rsidRPr="002F1769">
              <w:t>$3.1 Billion</w:t>
            </w:r>
          </w:p>
        </w:tc>
        <w:tc>
          <w:tcPr>
            <w:tcW w:w="0" w:type="auto"/>
            <w:tcBorders>
              <w:top w:val="nil"/>
              <w:left w:val="nil"/>
              <w:bottom w:val="single" w:sz="6" w:space="0" w:color="auto"/>
              <w:right w:val="nil"/>
            </w:tcBorders>
            <w:tcMar>
              <w:top w:w="240" w:type="dxa"/>
              <w:left w:w="0" w:type="dxa"/>
              <w:bottom w:w="240" w:type="dxa"/>
              <w:right w:w="0" w:type="dxa"/>
            </w:tcMar>
            <w:hideMark/>
          </w:tcPr>
          <w:p w14:paraId="18F2A28B" w14:textId="77777777" w:rsidR="002F1769" w:rsidRPr="002F1769" w:rsidRDefault="002F1769" w:rsidP="002F1769">
            <w:r w:rsidRPr="002F1769">
              <w:t>$1.2 Billion</w:t>
            </w:r>
          </w:p>
        </w:tc>
      </w:tr>
      <w:tr w:rsidR="002F1769" w:rsidRPr="002F1769" w14:paraId="54BE0492"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7C190E8" w14:textId="77777777" w:rsidR="002F1769" w:rsidRPr="002F1769" w:rsidRDefault="002F1769" w:rsidP="002F1769">
            <w:r w:rsidRPr="002F1769">
              <w:rPr>
                <w:b/>
                <w:bCs/>
              </w:rPr>
              <w:t>Total Trade</w:t>
            </w:r>
          </w:p>
        </w:tc>
        <w:tc>
          <w:tcPr>
            <w:tcW w:w="0" w:type="auto"/>
            <w:tcBorders>
              <w:top w:val="nil"/>
              <w:left w:val="nil"/>
              <w:bottom w:val="single" w:sz="6" w:space="0" w:color="auto"/>
              <w:right w:val="nil"/>
            </w:tcBorders>
            <w:tcMar>
              <w:top w:w="240" w:type="dxa"/>
              <w:left w:w="0" w:type="dxa"/>
              <w:bottom w:w="240" w:type="dxa"/>
              <w:right w:w="0" w:type="dxa"/>
            </w:tcMar>
            <w:hideMark/>
          </w:tcPr>
          <w:p w14:paraId="27E0CE5A" w14:textId="77777777" w:rsidR="002F1769" w:rsidRPr="002F1769" w:rsidRDefault="002F1769" w:rsidP="002F1769">
            <w:r w:rsidRPr="002F1769">
              <w:rPr>
                <w:b/>
                <w:bCs/>
              </w:rPr>
              <w:t>$169.8 Billion (Exports)</w:t>
            </w:r>
          </w:p>
        </w:tc>
        <w:tc>
          <w:tcPr>
            <w:tcW w:w="0" w:type="auto"/>
            <w:tcBorders>
              <w:top w:val="nil"/>
              <w:left w:val="nil"/>
              <w:bottom w:val="single" w:sz="6" w:space="0" w:color="auto"/>
              <w:right w:val="nil"/>
            </w:tcBorders>
            <w:tcMar>
              <w:top w:w="240" w:type="dxa"/>
              <w:left w:w="0" w:type="dxa"/>
              <w:bottom w:w="240" w:type="dxa"/>
              <w:right w:w="0" w:type="dxa"/>
            </w:tcMar>
            <w:hideMark/>
          </w:tcPr>
          <w:p w14:paraId="765923C4" w14:textId="77777777" w:rsidR="002F1769" w:rsidRPr="002F1769" w:rsidRDefault="002F1769" w:rsidP="002F1769">
            <w:r w:rsidRPr="002F1769">
              <w:rPr>
                <w:b/>
                <w:bCs/>
              </w:rPr>
              <w:t>$33.4 Billion (Imports)</w:t>
            </w:r>
          </w:p>
        </w:tc>
      </w:tr>
    </w:tbl>
    <w:p w14:paraId="18C2444F" w14:textId="77777777" w:rsidR="002F1769" w:rsidRPr="002F1769" w:rsidRDefault="002F1769" w:rsidP="002F1769">
      <w:r w:rsidRPr="002F1769">
        <w:t>While Canada is primarily an exporter, the trade is reciprocal. Many U.S. refineries in the Midwest and Gulf Coast are specifically configured to process heavy Canadian oil sands bitumen, which the U.S. does not produce in significant quantities. Conversely, Eastern Canadian refineries in Ontario and Quebec often import light crude and natural gas from the U.S. because the infrastructure to move Western Canadian supply to the East is constrained or more expensive than cross-border options.   </w:t>
      </w:r>
    </w:p>
    <w:p w14:paraId="6FC35A6C" w14:textId="77777777" w:rsidR="002F1769" w:rsidRPr="002F1769" w:rsidRDefault="002F1769" w:rsidP="002F1769">
      <w:pPr>
        <w:rPr>
          <w:b/>
          <w:bCs/>
        </w:rPr>
      </w:pPr>
      <w:r w:rsidRPr="002F1769">
        <w:rPr>
          <w:b/>
          <w:bCs/>
        </w:rPr>
        <w:t>Cross-Border Infrastructure and Security</w:t>
      </w:r>
    </w:p>
    <w:p w14:paraId="3470C544" w14:textId="77777777" w:rsidR="002F1769" w:rsidRPr="002F1769" w:rsidRDefault="002F1769" w:rsidP="002F1769">
      <w:r w:rsidRPr="002F1769">
        <w:t>The system is held together by 86 international power lines and dozens of major pipelines. This integration enhances reliability; for example, Minnesota utilizes the storage capability of Canadian hydropower to help integrate its own intermittent wind and solar power. Similarly, 13 U.S. states rely on Canadian natural gas for at least 30% of their supply, with some states like Montana and Vermont reaching 100% dependency.   </w:t>
      </w:r>
    </w:p>
    <w:p w14:paraId="654C880F" w14:textId="77777777" w:rsidR="002F1769" w:rsidRPr="002F1769" w:rsidRDefault="002F1769" w:rsidP="002F1769">
      <w:r w:rsidRPr="002F1769">
        <w:t>The resilience of this system was highlighted during Winter Storm Fern in early 2026. The storm knocked out 18.3 Bcf/d of U.S. gas production (17% of total supply). During this crisis, Canadian imports and storage withdrawals from hubs like Dawn and Cushing provided the necessary buffer to prevent a total grid collapse, with storage supplying up to 35% of national gas demand during the peak cold.   </w:t>
      </w:r>
    </w:p>
    <w:p w14:paraId="440C96CB" w14:textId="77777777" w:rsidR="002F1769" w:rsidRPr="002F1769" w:rsidRDefault="002F1769" w:rsidP="002F1769">
      <w:pPr>
        <w:rPr>
          <w:b/>
          <w:bCs/>
        </w:rPr>
      </w:pPr>
      <w:r w:rsidRPr="002F1769">
        <w:rPr>
          <w:b/>
          <w:bCs/>
        </w:rPr>
        <w:t>Visual Recommendation: The "Energy Fortress" Dashboard</w:t>
      </w:r>
    </w:p>
    <w:p w14:paraId="3201C070" w14:textId="77777777" w:rsidR="002F1769" w:rsidRPr="002F1769" w:rsidRDefault="002F1769" w:rsidP="002F1769">
      <w:r w:rsidRPr="002F1769">
        <w:t>A large-scale map of North America showing the main "arteries" (pipelines) and "organs" (hubs) of the system.</w:t>
      </w:r>
    </w:p>
    <w:p w14:paraId="08406899" w14:textId="77777777" w:rsidR="002F1769" w:rsidRPr="002F1769" w:rsidRDefault="002F1769" w:rsidP="002F1769">
      <w:pPr>
        <w:numPr>
          <w:ilvl w:val="0"/>
          <w:numId w:val="5"/>
        </w:numPr>
      </w:pPr>
      <w:r w:rsidRPr="002F1769">
        <w:rPr>
          <w:b/>
          <w:bCs/>
        </w:rPr>
        <w:lastRenderedPageBreak/>
        <w:t>Visual Elements</w:t>
      </w:r>
      <w:r w:rsidRPr="002F1769">
        <w:t>: Pulsing lights representing energy flows. When a "node" (like a pipeline) is interrupted, the lights should reroute through storage hubs.</w:t>
      </w:r>
    </w:p>
    <w:p w14:paraId="29F97C3E" w14:textId="77777777" w:rsidR="002F1769" w:rsidRPr="002F1769" w:rsidRDefault="002F1769" w:rsidP="002F1769">
      <w:pPr>
        <w:numPr>
          <w:ilvl w:val="0"/>
          <w:numId w:val="5"/>
        </w:numPr>
      </w:pPr>
      <w:r w:rsidRPr="002F1769">
        <w:rPr>
          <w:b/>
          <w:bCs/>
        </w:rPr>
        <w:t>Tariff Impact Simulator</w:t>
      </w:r>
      <w:r w:rsidRPr="002F1769">
        <w:t>: A feature allowing users to see how a 10% or 25% tariff on Canadian energy would increase costs for U.S. refiners and, ultimately, U.S. consumers.   </w:t>
      </w:r>
    </w:p>
    <w:p w14:paraId="63201503" w14:textId="77777777" w:rsidR="002F1769" w:rsidRPr="002F1769" w:rsidRDefault="002F1769" w:rsidP="002F1769">
      <w:pPr>
        <w:numPr>
          <w:ilvl w:val="0"/>
          <w:numId w:val="5"/>
        </w:numPr>
      </w:pPr>
      <w:r w:rsidRPr="002F1769">
        <w:rPr>
          <w:b/>
          <w:bCs/>
        </w:rPr>
        <w:t>Electricity Grid Integration</w:t>
      </w:r>
      <w:r w:rsidRPr="002F1769">
        <w:t>: Highlight the 37 major transmission connections that move 82.4 million MWh annually across the border.   </w:t>
      </w:r>
    </w:p>
    <w:p w14:paraId="60D300A9" w14:textId="77777777" w:rsidR="002F1769" w:rsidRPr="002F1769" w:rsidRDefault="002F1769" w:rsidP="002F1769">
      <w:pPr>
        <w:rPr>
          <w:b/>
          <w:bCs/>
        </w:rPr>
      </w:pPr>
      <w:r w:rsidRPr="002F1769">
        <w:rPr>
          <w:b/>
          <w:bCs/>
        </w:rPr>
        <w:t>Future Horizons: Hydrogen Storage and Renewable Integration</w:t>
      </w:r>
    </w:p>
    <w:p w14:paraId="19CD34CE" w14:textId="77777777" w:rsidR="002F1769" w:rsidRPr="002F1769" w:rsidRDefault="002F1769" w:rsidP="002F1769">
      <w:r w:rsidRPr="002F1769">
        <w:t>As North America moves toward its 2050 net-zero goals, the role of storage is shifting from hydrocarbons to low-carbon carriers like hydrogen and electricity.   </w:t>
      </w:r>
    </w:p>
    <w:p w14:paraId="706F7B67" w14:textId="77777777" w:rsidR="002F1769" w:rsidRPr="002F1769" w:rsidRDefault="002F1769" w:rsidP="002F1769">
      <w:pPr>
        <w:rPr>
          <w:b/>
          <w:bCs/>
        </w:rPr>
      </w:pPr>
      <w:r w:rsidRPr="002F1769">
        <w:rPr>
          <w:b/>
          <w:bCs/>
        </w:rPr>
        <w:t>The Hydrogen Transition: Salt Caverns vs. Porous Media</w:t>
      </w:r>
    </w:p>
    <w:p w14:paraId="7FDE23F0" w14:textId="77777777" w:rsidR="002F1769" w:rsidRPr="002F1769" w:rsidRDefault="002F1769" w:rsidP="002F1769">
      <w:r w:rsidRPr="002F1769">
        <w:t>Hydrogen storage is significantly more challenging than natural gas storage due to the molecule's unique physical properties. Hydrogen has a lower molecular weight, lower viscosity, and higher diffusivity than methane (</w:t>
      </w:r>
      <w:r w:rsidRPr="002F1769">
        <w:rPr>
          <w:i/>
          <w:iCs/>
        </w:rPr>
        <w:t>CH</w:t>
      </w:r>
      <w:r w:rsidRPr="002F1769">
        <w:t>4​).   </w:t>
      </w:r>
    </w:p>
    <w:tbl>
      <w:tblPr>
        <w:tblW w:w="15390" w:type="dxa"/>
        <w:tblCellMar>
          <w:top w:w="15" w:type="dxa"/>
          <w:left w:w="15" w:type="dxa"/>
          <w:bottom w:w="15" w:type="dxa"/>
          <w:right w:w="15" w:type="dxa"/>
        </w:tblCellMar>
        <w:tblLook w:val="04A0" w:firstRow="1" w:lastRow="0" w:firstColumn="1" w:lastColumn="0" w:noHBand="0" w:noVBand="1"/>
      </w:tblPr>
      <w:tblGrid>
        <w:gridCol w:w="5750"/>
        <w:gridCol w:w="4820"/>
        <w:gridCol w:w="4820"/>
      </w:tblGrid>
      <w:tr w:rsidR="002F1769" w:rsidRPr="002F1769" w14:paraId="39D80D01"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0815A268" w14:textId="77777777" w:rsidR="002F1769" w:rsidRPr="002F1769" w:rsidRDefault="002F1769" w:rsidP="002F1769">
            <w:r w:rsidRPr="002F1769">
              <w:t>Property</w:t>
            </w:r>
          </w:p>
        </w:tc>
        <w:tc>
          <w:tcPr>
            <w:tcW w:w="0" w:type="auto"/>
            <w:tcBorders>
              <w:top w:val="nil"/>
              <w:left w:val="nil"/>
              <w:bottom w:val="single" w:sz="6" w:space="0" w:color="auto"/>
              <w:right w:val="nil"/>
            </w:tcBorders>
            <w:tcMar>
              <w:top w:w="240" w:type="dxa"/>
              <w:left w:w="0" w:type="dxa"/>
              <w:bottom w:w="240" w:type="dxa"/>
              <w:right w:w="0" w:type="dxa"/>
            </w:tcMar>
            <w:hideMark/>
          </w:tcPr>
          <w:p w14:paraId="410418C4" w14:textId="77777777" w:rsidR="002F1769" w:rsidRPr="002F1769" w:rsidRDefault="002F1769" w:rsidP="002F1769">
            <w:r w:rsidRPr="002F1769">
              <w:t>Hydrogen (</w:t>
            </w:r>
            <w:r w:rsidRPr="002F1769">
              <w:rPr>
                <w:i/>
                <w:iCs/>
              </w:rPr>
              <w:t>H</w:t>
            </w:r>
            <w:r w:rsidRPr="002F1769">
              <w:t>2​)</w:t>
            </w:r>
          </w:p>
        </w:tc>
        <w:tc>
          <w:tcPr>
            <w:tcW w:w="0" w:type="auto"/>
            <w:tcBorders>
              <w:top w:val="nil"/>
              <w:left w:val="nil"/>
              <w:bottom w:val="single" w:sz="6" w:space="0" w:color="auto"/>
              <w:right w:val="nil"/>
            </w:tcBorders>
            <w:tcMar>
              <w:top w:w="240" w:type="dxa"/>
              <w:left w:w="0" w:type="dxa"/>
              <w:bottom w:w="240" w:type="dxa"/>
              <w:right w:w="0" w:type="dxa"/>
            </w:tcMar>
            <w:hideMark/>
          </w:tcPr>
          <w:p w14:paraId="5536FEC1" w14:textId="77777777" w:rsidR="002F1769" w:rsidRPr="002F1769" w:rsidRDefault="002F1769" w:rsidP="002F1769">
            <w:r w:rsidRPr="002F1769">
              <w:t>Methane (</w:t>
            </w:r>
            <w:r w:rsidRPr="002F1769">
              <w:rPr>
                <w:i/>
                <w:iCs/>
              </w:rPr>
              <w:t>CH</w:t>
            </w:r>
            <w:r w:rsidRPr="002F1769">
              <w:t>4​)</w:t>
            </w:r>
          </w:p>
        </w:tc>
      </w:tr>
      <w:tr w:rsidR="002F1769" w:rsidRPr="002F1769" w14:paraId="7BD10437"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0779F81" w14:textId="77777777" w:rsidR="002F1769" w:rsidRPr="002F1769" w:rsidRDefault="002F1769" w:rsidP="002F1769">
            <w:r w:rsidRPr="002F1769">
              <w:rPr>
                <w:b/>
                <w:bCs/>
              </w:rPr>
              <w:t>Molecular Weight</w:t>
            </w:r>
          </w:p>
        </w:tc>
        <w:tc>
          <w:tcPr>
            <w:tcW w:w="0" w:type="auto"/>
            <w:tcBorders>
              <w:top w:val="nil"/>
              <w:left w:val="nil"/>
              <w:bottom w:val="single" w:sz="6" w:space="0" w:color="auto"/>
              <w:right w:val="nil"/>
            </w:tcBorders>
            <w:tcMar>
              <w:top w:w="240" w:type="dxa"/>
              <w:left w:w="0" w:type="dxa"/>
              <w:bottom w:w="240" w:type="dxa"/>
              <w:right w:w="0" w:type="dxa"/>
            </w:tcMar>
            <w:hideMark/>
          </w:tcPr>
          <w:p w14:paraId="782EDDEB" w14:textId="77777777" w:rsidR="002F1769" w:rsidRPr="002F1769" w:rsidRDefault="002F1769" w:rsidP="002F1769">
            <w:r w:rsidRPr="002F1769">
              <w:t>2.016 g/mol</w:t>
            </w:r>
          </w:p>
        </w:tc>
        <w:tc>
          <w:tcPr>
            <w:tcW w:w="0" w:type="auto"/>
            <w:tcBorders>
              <w:top w:val="nil"/>
              <w:left w:val="nil"/>
              <w:bottom w:val="single" w:sz="6" w:space="0" w:color="auto"/>
              <w:right w:val="nil"/>
            </w:tcBorders>
            <w:tcMar>
              <w:top w:w="240" w:type="dxa"/>
              <w:left w:w="0" w:type="dxa"/>
              <w:bottom w:w="240" w:type="dxa"/>
              <w:right w:w="0" w:type="dxa"/>
            </w:tcMar>
            <w:hideMark/>
          </w:tcPr>
          <w:p w14:paraId="39047A35" w14:textId="77777777" w:rsidR="002F1769" w:rsidRPr="002F1769" w:rsidRDefault="002F1769" w:rsidP="002F1769">
            <w:r w:rsidRPr="002F1769">
              <w:t>16.043 g/mol</w:t>
            </w:r>
          </w:p>
        </w:tc>
      </w:tr>
      <w:tr w:rsidR="002F1769" w:rsidRPr="002F1769" w14:paraId="0BB73C92"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C9B9E54" w14:textId="77777777" w:rsidR="002F1769" w:rsidRPr="002F1769" w:rsidRDefault="002F1769" w:rsidP="002F1769">
            <w:r w:rsidRPr="002F1769">
              <w:rPr>
                <w:b/>
                <w:bCs/>
              </w:rPr>
              <w:t>Viscosity (at 20°C)</w:t>
            </w:r>
          </w:p>
        </w:tc>
        <w:tc>
          <w:tcPr>
            <w:tcW w:w="0" w:type="auto"/>
            <w:tcBorders>
              <w:top w:val="nil"/>
              <w:left w:val="nil"/>
              <w:bottom w:val="single" w:sz="6" w:space="0" w:color="auto"/>
              <w:right w:val="nil"/>
            </w:tcBorders>
            <w:tcMar>
              <w:top w:w="240" w:type="dxa"/>
              <w:left w:w="0" w:type="dxa"/>
              <w:bottom w:w="240" w:type="dxa"/>
              <w:right w:w="0" w:type="dxa"/>
            </w:tcMar>
            <w:hideMark/>
          </w:tcPr>
          <w:p w14:paraId="1915C92C" w14:textId="77777777" w:rsidR="002F1769" w:rsidRPr="002F1769" w:rsidRDefault="002F1769" w:rsidP="002F1769">
            <w:r w:rsidRPr="002F1769">
              <w:t xml:space="preserve">8.8 </w:t>
            </w:r>
            <w:proofErr w:type="spellStart"/>
            <w:r w:rsidRPr="002F1769">
              <w:t>μPa·s</w:t>
            </w:r>
            <w:proofErr w:type="spellEnd"/>
          </w:p>
        </w:tc>
        <w:tc>
          <w:tcPr>
            <w:tcW w:w="0" w:type="auto"/>
            <w:tcBorders>
              <w:top w:val="nil"/>
              <w:left w:val="nil"/>
              <w:bottom w:val="single" w:sz="6" w:space="0" w:color="auto"/>
              <w:right w:val="nil"/>
            </w:tcBorders>
            <w:tcMar>
              <w:top w:w="240" w:type="dxa"/>
              <w:left w:w="0" w:type="dxa"/>
              <w:bottom w:w="240" w:type="dxa"/>
              <w:right w:w="0" w:type="dxa"/>
            </w:tcMar>
            <w:hideMark/>
          </w:tcPr>
          <w:p w14:paraId="73D3497D" w14:textId="77777777" w:rsidR="002F1769" w:rsidRPr="002F1769" w:rsidRDefault="002F1769" w:rsidP="002F1769">
            <w:r w:rsidRPr="002F1769">
              <w:t xml:space="preserve">11.0 </w:t>
            </w:r>
            <w:proofErr w:type="spellStart"/>
            <w:r w:rsidRPr="002F1769">
              <w:t>μPa·s</w:t>
            </w:r>
            <w:proofErr w:type="spellEnd"/>
          </w:p>
        </w:tc>
      </w:tr>
      <w:tr w:rsidR="002F1769" w:rsidRPr="002F1769" w14:paraId="236E1C27"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F9B5FC5" w14:textId="77777777" w:rsidR="002F1769" w:rsidRPr="002F1769" w:rsidRDefault="002F1769" w:rsidP="002F1769">
            <w:r w:rsidRPr="002F1769">
              <w:rPr>
                <w:b/>
                <w:bCs/>
              </w:rPr>
              <w:t>Diffusion Coefficient</w:t>
            </w:r>
          </w:p>
        </w:tc>
        <w:tc>
          <w:tcPr>
            <w:tcW w:w="0" w:type="auto"/>
            <w:tcBorders>
              <w:top w:val="nil"/>
              <w:left w:val="nil"/>
              <w:bottom w:val="single" w:sz="6" w:space="0" w:color="auto"/>
              <w:right w:val="nil"/>
            </w:tcBorders>
            <w:tcMar>
              <w:top w:w="240" w:type="dxa"/>
              <w:left w:w="0" w:type="dxa"/>
              <w:bottom w:w="240" w:type="dxa"/>
              <w:right w:w="0" w:type="dxa"/>
            </w:tcMar>
            <w:hideMark/>
          </w:tcPr>
          <w:p w14:paraId="56B5BAEB" w14:textId="77777777" w:rsidR="002F1769" w:rsidRPr="002F1769" w:rsidRDefault="002F1769" w:rsidP="002F1769">
            <w:r w:rsidRPr="002F1769">
              <w:t>0.61 cm²/s (in air)</w:t>
            </w:r>
          </w:p>
        </w:tc>
        <w:tc>
          <w:tcPr>
            <w:tcW w:w="0" w:type="auto"/>
            <w:tcBorders>
              <w:top w:val="nil"/>
              <w:left w:val="nil"/>
              <w:bottom w:val="single" w:sz="6" w:space="0" w:color="auto"/>
              <w:right w:val="nil"/>
            </w:tcBorders>
            <w:tcMar>
              <w:top w:w="240" w:type="dxa"/>
              <w:left w:w="0" w:type="dxa"/>
              <w:bottom w:w="240" w:type="dxa"/>
              <w:right w:w="0" w:type="dxa"/>
            </w:tcMar>
            <w:hideMark/>
          </w:tcPr>
          <w:p w14:paraId="14D0A59C" w14:textId="77777777" w:rsidR="002F1769" w:rsidRPr="002F1769" w:rsidRDefault="002F1769" w:rsidP="002F1769">
            <w:r w:rsidRPr="002F1769">
              <w:t>0.16 cm²/s (in air)</w:t>
            </w:r>
          </w:p>
        </w:tc>
      </w:tr>
    </w:tbl>
    <w:p w14:paraId="523ACCC6" w14:textId="77777777" w:rsidR="002F1769" w:rsidRPr="002F1769" w:rsidRDefault="002F1769" w:rsidP="002F1769">
      <w:r w:rsidRPr="002F1769">
        <w:t>Because hydrogen is so small, it can penetrate micro-fractures in salt rocks or cause "hydrogen embrittlement" in steel wellbore casings, leading to mechanical failure. In porous media (depleted reservoirs), hydrogen loss of 10% to 61% has been observed due to microbial activity—specifically sulfate-reducing bacteria that consume hydrogen to produce hydrogen sulfide (</w:t>
      </w:r>
      <w:r w:rsidRPr="002F1769">
        <w:rPr>
          <w:i/>
          <w:iCs/>
        </w:rPr>
        <w:t>H</w:t>
      </w:r>
      <w:r w:rsidRPr="002F1769">
        <w:t>2​</w:t>
      </w:r>
      <w:r w:rsidRPr="002F1769">
        <w:rPr>
          <w:i/>
          <w:iCs/>
        </w:rPr>
        <w:t>S</w:t>
      </w:r>
      <w:r w:rsidRPr="002F1769">
        <w:t>).   </w:t>
      </w:r>
    </w:p>
    <w:p w14:paraId="34CEA225" w14:textId="77777777" w:rsidR="002F1769" w:rsidRPr="002F1769" w:rsidRDefault="002F1769" w:rsidP="002F1769">
      <w:r w:rsidRPr="002F1769">
        <w:t>Despite these hurdles, salt caverns are considered the "gold standard" for hydrogen storage because salt is relatively inert and impermeable. The Edmonton Region Hydrogen Hub in Alberta is currently leading Canada’s transition, with projects like the Air Products net-zero hydrogen complex scheduled for 2025.   </w:t>
      </w:r>
    </w:p>
    <w:p w14:paraId="762F3397" w14:textId="77777777" w:rsidR="002F1769" w:rsidRPr="002F1769" w:rsidRDefault="002F1769" w:rsidP="002F1769">
      <w:pPr>
        <w:rPr>
          <w:b/>
          <w:bCs/>
        </w:rPr>
      </w:pPr>
      <w:r w:rsidRPr="002F1769">
        <w:rPr>
          <w:b/>
          <w:bCs/>
        </w:rPr>
        <w:t>The Role of Battery and Renewable Storage</w:t>
      </w:r>
    </w:p>
    <w:p w14:paraId="0BDB1302" w14:textId="77777777" w:rsidR="002F1769" w:rsidRPr="002F1769" w:rsidRDefault="002F1769" w:rsidP="002F1769">
      <w:r w:rsidRPr="002F1769">
        <w:t>Canada’s renewable energy storage market is projected to reach $3.1 billion by 2033. Large-scale projects, such as the 250 MW / 1,000 MWh battery facility in Haldimand County, Ontario, are doubling the province’s energy storage capacity. These battery systems are essential for "firming up" intermittent wind and solar power, ensuring that the grid remains stable even when the sun is not shining or the wind is not blowing.   </w:t>
      </w:r>
    </w:p>
    <w:p w14:paraId="6E74DD9C" w14:textId="77777777" w:rsidR="002F1769" w:rsidRPr="002F1769" w:rsidRDefault="002F1769" w:rsidP="002F1769">
      <w:pPr>
        <w:rPr>
          <w:b/>
          <w:bCs/>
        </w:rPr>
      </w:pPr>
      <w:r w:rsidRPr="002F1769">
        <w:rPr>
          <w:b/>
          <w:bCs/>
        </w:rPr>
        <w:lastRenderedPageBreak/>
        <w:t>Visual Recommendation: The "Hydrogen Cavern" 3D Animation</w:t>
      </w:r>
    </w:p>
    <w:p w14:paraId="1466981F" w14:textId="77777777" w:rsidR="002F1769" w:rsidRPr="002F1769" w:rsidRDefault="002F1769" w:rsidP="002F1769">
      <w:r w:rsidRPr="002F1769">
        <w:t>A cutting-edge 3D model specifically for hydrogen storage.</w:t>
      </w:r>
    </w:p>
    <w:p w14:paraId="3EE686D9" w14:textId="77777777" w:rsidR="002F1769" w:rsidRPr="002F1769" w:rsidRDefault="002F1769" w:rsidP="002F1769">
      <w:pPr>
        <w:numPr>
          <w:ilvl w:val="0"/>
          <w:numId w:val="6"/>
        </w:numPr>
      </w:pPr>
      <w:r w:rsidRPr="002F1769">
        <w:rPr>
          <w:b/>
          <w:bCs/>
        </w:rPr>
        <w:t>Visual Elements</w:t>
      </w:r>
      <w:r w:rsidRPr="002F1769">
        <w:t>: Show a salt cavern with advanced "TSRV" (tubing-retrievable safety valves) and specialized coatings on the pipe walls.   </w:t>
      </w:r>
    </w:p>
    <w:p w14:paraId="2CD00568" w14:textId="77777777" w:rsidR="002F1769" w:rsidRPr="002F1769" w:rsidRDefault="002F1769" w:rsidP="002F1769">
      <w:pPr>
        <w:numPr>
          <w:ilvl w:val="0"/>
          <w:numId w:val="6"/>
        </w:numPr>
      </w:pPr>
      <w:r w:rsidRPr="002F1769">
        <w:rPr>
          <w:b/>
          <w:bCs/>
        </w:rPr>
        <w:t>Physics Interaction</w:t>
      </w:r>
      <w:r w:rsidRPr="002F1769">
        <w:t xml:space="preserve">: A microscopic view showing hydrogen molecules vs. methane molecules. When the user "pressurizes" the cavern, show the hydrogen molecules attempting to diffuse into the salt interlayers, and how "creep" in the salt can introduce </w:t>
      </w:r>
      <w:proofErr w:type="spellStart"/>
      <w:r w:rsidRPr="002F1769">
        <w:t>geomechanical</w:t>
      </w:r>
      <w:proofErr w:type="spellEnd"/>
      <w:r w:rsidRPr="002F1769">
        <w:t xml:space="preserve"> challenges.   </w:t>
      </w:r>
    </w:p>
    <w:p w14:paraId="436C20B3" w14:textId="77777777" w:rsidR="002F1769" w:rsidRPr="002F1769" w:rsidRDefault="002F1769" w:rsidP="002F1769">
      <w:pPr>
        <w:numPr>
          <w:ilvl w:val="0"/>
          <w:numId w:val="6"/>
        </w:numPr>
      </w:pPr>
      <w:r w:rsidRPr="002F1769">
        <w:rPr>
          <w:b/>
          <w:bCs/>
        </w:rPr>
        <w:t>Integration</w:t>
      </w:r>
      <w:r w:rsidRPr="002F1769">
        <w:t>: Connect this cavern to a wind farm (for green hydrogen production) or a natural gas plant with CCUS (for blue hydrogen production).   </w:t>
      </w:r>
    </w:p>
    <w:p w14:paraId="262F5C87" w14:textId="77777777" w:rsidR="002F1769" w:rsidRPr="002F1769" w:rsidRDefault="002F1769" w:rsidP="002F1769">
      <w:pPr>
        <w:rPr>
          <w:b/>
          <w:bCs/>
        </w:rPr>
      </w:pPr>
      <w:r w:rsidRPr="002F1769">
        <w:rPr>
          <w:b/>
          <w:bCs/>
        </w:rPr>
        <w:t>Conclusion: The Strategic Imperative of Energy Buffers</w:t>
      </w:r>
    </w:p>
    <w:p w14:paraId="01FD774C" w14:textId="77777777" w:rsidR="002F1769" w:rsidRPr="002F1769" w:rsidRDefault="002F1769" w:rsidP="002F1769">
      <w:r w:rsidRPr="002F1769">
        <w:t>The energy hubs of Hardisty, Cushing, Dawn, and Henry Hub are the unsung heroes of the North American economy. They provide the "surge capacity" necessary to withstand geopolitical shocks, extreme weather, and the inherent variability of renewable energy. As we have seen through the 2024-2025 trade data, the integration of these systems across the Canada-U.S. border is not just an economic convenience but a strategic necessity. By investing in the expansion of these hubs and transitioning them to support hydrogen and carbon sequestration, North America can cement its position as a global energy superpower while simultaneously achieving its climate objectives. The deep dives provided here should serve as the foundation for a more nuanced public understanding of the infrastructure that powers our continent.   </w:t>
      </w:r>
    </w:p>
    <w:p w14:paraId="24AEA012" w14:textId="73D64053" w:rsidR="00C121AE" w:rsidRPr="002F1769" w:rsidRDefault="00C121AE">
      <w:pPr>
        <w:rPr>
          <w:b/>
          <w:bCs/>
          <w:lang w:val="en-US"/>
        </w:rPr>
      </w:pPr>
    </w:p>
    <w:sectPr w:rsidR="00C121AE" w:rsidRPr="002F17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7BA2"/>
    <w:multiLevelType w:val="multilevel"/>
    <w:tmpl w:val="925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23183"/>
    <w:multiLevelType w:val="multilevel"/>
    <w:tmpl w:val="76D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A63595"/>
    <w:multiLevelType w:val="multilevel"/>
    <w:tmpl w:val="C6F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3747AD"/>
    <w:multiLevelType w:val="multilevel"/>
    <w:tmpl w:val="0C4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75512B"/>
    <w:multiLevelType w:val="multilevel"/>
    <w:tmpl w:val="2930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422DB0"/>
    <w:multiLevelType w:val="multilevel"/>
    <w:tmpl w:val="0F00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9945435">
    <w:abstractNumId w:val="0"/>
  </w:num>
  <w:num w:numId="2" w16cid:durableId="152839199">
    <w:abstractNumId w:val="4"/>
  </w:num>
  <w:num w:numId="3" w16cid:durableId="118762038">
    <w:abstractNumId w:val="3"/>
  </w:num>
  <w:num w:numId="4" w16cid:durableId="1661546229">
    <w:abstractNumId w:val="2"/>
  </w:num>
  <w:num w:numId="5" w16cid:durableId="105856495">
    <w:abstractNumId w:val="1"/>
  </w:num>
  <w:num w:numId="6" w16cid:durableId="918758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69"/>
    <w:rsid w:val="00217E39"/>
    <w:rsid w:val="002F1769"/>
    <w:rsid w:val="004D1859"/>
    <w:rsid w:val="005A3454"/>
    <w:rsid w:val="00A80790"/>
    <w:rsid w:val="00AA2A4F"/>
    <w:rsid w:val="00C121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A0451"/>
  <w15:chartTrackingRefBased/>
  <w15:docId w15:val="{BD9F5CBA-CDA2-421D-A396-2A18C053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7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7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7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7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7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7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7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7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7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7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769"/>
    <w:rPr>
      <w:rFonts w:eastAsiaTheme="majorEastAsia" w:cstheme="majorBidi"/>
      <w:color w:val="272727" w:themeColor="text1" w:themeTint="D8"/>
    </w:rPr>
  </w:style>
  <w:style w:type="paragraph" w:styleId="Title">
    <w:name w:val="Title"/>
    <w:basedOn w:val="Normal"/>
    <w:next w:val="Normal"/>
    <w:link w:val="TitleChar"/>
    <w:uiPriority w:val="10"/>
    <w:qFormat/>
    <w:rsid w:val="002F1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769"/>
    <w:pPr>
      <w:spacing w:before="160"/>
      <w:jc w:val="center"/>
    </w:pPr>
    <w:rPr>
      <w:i/>
      <w:iCs/>
      <w:color w:val="404040" w:themeColor="text1" w:themeTint="BF"/>
    </w:rPr>
  </w:style>
  <w:style w:type="character" w:customStyle="1" w:styleId="QuoteChar">
    <w:name w:val="Quote Char"/>
    <w:basedOn w:val="DefaultParagraphFont"/>
    <w:link w:val="Quote"/>
    <w:uiPriority w:val="29"/>
    <w:rsid w:val="002F1769"/>
    <w:rPr>
      <w:i/>
      <w:iCs/>
      <w:color w:val="404040" w:themeColor="text1" w:themeTint="BF"/>
    </w:rPr>
  </w:style>
  <w:style w:type="paragraph" w:styleId="ListParagraph">
    <w:name w:val="List Paragraph"/>
    <w:basedOn w:val="Normal"/>
    <w:uiPriority w:val="34"/>
    <w:qFormat/>
    <w:rsid w:val="002F1769"/>
    <w:pPr>
      <w:ind w:left="720"/>
      <w:contextualSpacing/>
    </w:pPr>
  </w:style>
  <w:style w:type="character" w:styleId="IntenseEmphasis">
    <w:name w:val="Intense Emphasis"/>
    <w:basedOn w:val="DefaultParagraphFont"/>
    <w:uiPriority w:val="21"/>
    <w:qFormat/>
    <w:rsid w:val="002F1769"/>
    <w:rPr>
      <w:i/>
      <w:iCs/>
      <w:color w:val="2F5496" w:themeColor="accent1" w:themeShade="BF"/>
    </w:rPr>
  </w:style>
  <w:style w:type="paragraph" w:styleId="IntenseQuote">
    <w:name w:val="Intense Quote"/>
    <w:basedOn w:val="Normal"/>
    <w:next w:val="Normal"/>
    <w:link w:val="IntenseQuoteChar"/>
    <w:uiPriority w:val="30"/>
    <w:qFormat/>
    <w:rsid w:val="002F1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769"/>
    <w:rPr>
      <w:i/>
      <w:iCs/>
      <w:color w:val="2F5496" w:themeColor="accent1" w:themeShade="BF"/>
    </w:rPr>
  </w:style>
  <w:style w:type="character" w:styleId="IntenseReference">
    <w:name w:val="Intense Reference"/>
    <w:basedOn w:val="DefaultParagraphFont"/>
    <w:uiPriority w:val="32"/>
    <w:qFormat/>
    <w:rsid w:val="002F17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3066</Words>
  <Characters>17482</Characters>
  <Application>Microsoft Office Word</Application>
  <DocSecurity>0</DocSecurity>
  <Lines>145</Lines>
  <Paragraphs>41</Paragraphs>
  <ScaleCrop>false</ScaleCrop>
  <Company/>
  <LinksUpToDate>false</LinksUpToDate>
  <CharactersWithSpaces>20507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Dawson</dc:creator>
  <cp:keywords/>
  <dc:description/>
  <cp:lastModifiedBy>Sam Dawson</cp:lastModifiedBy>
  <cp:revision>1</cp:revision>
  <dcterms:created xsi:type="dcterms:W3CDTF">2026-05-05T04:00:00Z</dcterms:created>
  <dcterms:modified xsi:type="dcterms:W3CDTF">2026-05-05T04:01:00Z</dcterms:modified>
</cp:coreProperties>
</file>