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80" w:before="280" w:line="275.9999942779541" w:lineRule="auto"/>
        <w:rPr>
          <w:sz w:val="26"/>
          <w:szCs w:val="26"/>
        </w:rPr>
      </w:pPr>
      <w:bookmarkStart w:colFirst="0" w:colLast="0" w:name="_7ux0h7uvaiv4" w:id="0"/>
      <w:bookmarkEnd w:id="0"/>
      <w:r w:rsidDel="00000000" w:rsidR="00000000" w:rsidRPr="00000000">
        <w:rPr>
          <w:sz w:val="26"/>
          <w:szCs w:val="26"/>
          <w:rtl w:val="0"/>
        </w:rPr>
        <w:t xml:space="preserve">1. Suggested Website Organization</w:t>
      </w:r>
    </w:p>
    <w:p w:rsidR="00000000" w:rsidDel="00000000" w:rsidP="00000000" w:rsidRDefault="00000000" w:rsidRPr="00000000" w14:paraId="00000002">
      <w:pPr>
        <w:spacing w:after="240" w:before="240" w:line="275.9999942779541" w:lineRule="auto"/>
        <w:rPr/>
      </w:pPr>
      <w:r w:rsidDel="00000000" w:rsidR="00000000" w:rsidRPr="00000000">
        <w:rPr>
          <w:rtl w:val="0"/>
        </w:rPr>
        <w:t xml:space="preserve">A logical layout should mirror the "natural content categories" of the energy system to reduce the cognitive load on the user:</w:t>
      </w:r>
    </w:p>
    <w:p w:rsidR="00000000" w:rsidDel="00000000" w:rsidP="00000000" w:rsidRDefault="00000000" w:rsidRPr="00000000" w14:paraId="00000003">
      <w:pPr>
        <w:numPr>
          <w:ilvl w:val="0"/>
          <w:numId w:val="8"/>
        </w:numPr>
        <w:spacing w:after="0" w:afterAutospacing="0" w:before="240" w:line="275.9999942779541" w:lineRule="auto"/>
        <w:ind w:left="720" w:hanging="360"/>
      </w:pPr>
      <w:r w:rsidDel="00000000" w:rsidR="00000000" w:rsidRPr="00000000">
        <w:rPr>
          <w:b w:val="1"/>
          <w:bCs w:val="1"/>
          <w:rtl w:val="0"/>
        </w:rPr>
        <w:t xml:space="preserve">Homepage (The Pulse):</w:t>
      </w:r>
      <w:r w:rsidDel="00000000" w:rsidR="00000000" w:rsidRPr="00000000">
        <w:rPr>
          <w:rtl w:val="0"/>
        </w:rPr>
        <w:t xml:space="preserve"> Feature real-time or recent price benchmarks for WTI and WCS oil and Henry Hub gas. Use high-contrast "focal points" to highlight headline metrics like Canada’s global ranking in energy production (e.g., 4th in oil, 3rd in hydro).</w:t>
      </w:r>
    </w:p>
    <w:p w:rsidR="00000000" w:rsidDel="00000000" w:rsidP="00000000" w:rsidRDefault="00000000" w:rsidRPr="00000000" w14:paraId="00000004">
      <w:pPr>
        <w:numPr>
          <w:ilvl w:val="0"/>
          <w:numId w:val="8"/>
        </w:numPr>
        <w:spacing w:after="0" w:afterAutospacing="0" w:before="0" w:beforeAutospacing="0" w:line="275.9999942779541" w:lineRule="auto"/>
        <w:ind w:left="720" w:hanging="360"/>
      </w:pPr>
      <w:r w:rsidDel="00000000" w:rsidR="00000000" w:rsidRPr="00000000">
        <w:rPr>
          <w:b w:val="1"/>
          <w:bCs w:val="1"/>
          <w:rtl w:val="0"/>
        </w:rPr>
        <w:t xml:space="preserve">Layer 1: The Ground (Basins &amp; Resources):</w:t>
      </w:r>
      <w:r w:rsidDel="00000000" w:rsidR="00000000" w:rsidRPr="00000000">
        <w:rPr>
          <w:rtl w:val="0"/>
        </w:rPr>
        <w:t xml:space="preserve"> Use the detailed "geoms" of the Western Canada Sedimentary Basin (WCSB) as the base map layer.</w:t>
      </w:r>
    </w:p>
    <w:p w:rsidR="00000000" w:rsidDel="00000000" w:rsidP="00000000" w:rsidRDefault="00000000" w:rsidRPr="00000000" w14:paraId="00000005">
      <w:pPr>
        <w:numPr>
          <w:ilvl w:val="0"/>
          <w:numId w:val="8"/>
        </w:numPr>
        <w:spacing w:after="0" w:afterAutospacing="0" w:before="0" w:beforeAutospacing="0" w:line="275.9999942779541" w:lineRule="auto"/>
        <w:ind w:left="720" w:hanging="360"/>
      </w:pPr>
      <w:r w:rsidDel="00000000" w:rsidR="00000000" w:rsidRPr="00000000">
        <w:rPr>
          <w:b w:val="1"/>
          <w:bCs w:val="1"/>
          <w:rtl w:val="0"/>
        </w:rPr>
        <w:t xml:space="preserve">Layer 2: The Conduits (Pipelines &amp; Flows):</w:t>
      </w:r>
      <w:r w:rsidDel="00000000" w:rsidR="00000000" w:rsidRPr="00000000">
        <w:rPr>
          <w:rtl w:val="0"/>
        </w:rPr>
        <w:t xml:space="preserve"> Organize by product type (Liquids vs. Natural Gas). Feature major systems like the Enbridge Mainline (~3.1 MMb/d) and the newly expanded Trans Mountain (890,000 bpd).</w:t>
      </w:r>
    </w:p>
    <w:p w:rsidR="00000000" w:rsidDel="00000000" w:rsidP="00000000" w:rsidRDefault="00000000" w:rsidRPr="00000000" w14:paraId="00000006">
      <w:pPr>
        <w:numPr>
          <w:ilvl w:val="0"/>
          <w:numId w:val="8"/>
        </w:numPr>
        <w:spacing w:after="0" w:afterAutospacing="0" w:before="0" w:beforeAutospacing="0" w:line="275.9999942779541" w:lineRule="auto"/>
        <w:ind w:left="720" w:hanging="360"/>
      </w:pPr>
      <w:r w:rsidDel="00000000" w:rsidR="00000000" w:rsidRPr="00000000">
        <w:rPr>
          <w:b w:val="1"/>
          <w:bCs w:val="1"/>
          <w:rtl w:val="0"/>
        </w:rPr>
        <w:t xml:space="preserve">Layer 3: Transformation &amp; Storage (Refineries &amp; Hubs):</w:t>
      </w:r>
      <w:r w:rsidDel="00000000" w:rsidR="00000000" w:rsidRPr="00000000">
        <w:rPr>
          <w:rtl w:val="0"/>
        </w:rPr>
        <w:t xml:space="preserve"> Map the 16 Canadian refineries by capacity, such as the Irving Oil Refinery (320,000 bbl/d) and the Strathcona Refinery (191,000 bbl/d). Include the major storage hubs like Hardisty (oil) and Dawn (gas).</w:t>
      </w:r>
    </w:p>
    <w:p w:rsidR="00000000" w:rsidDel="00000000" w:rsidP="00000000" w:rsidRDefault="00000000" w:rsidRPr="00000000" w14:paraId="00000007">
      <w:pPr>
        <w:numPr>
          <w:ilvl w:val="0"/>
          <w:numId w:val="8"/>
        </w:numPr>
        <w:spacing w:after="0" w:afterAutospacing="0" w:before="0" w:beforeAutospacing="0" w:line="275.9999942779541" w:lineRule="auto"/>
        <w:ind w:left="720" w:hanging="360"/>
      </w:pPr>
      <w:r w:rsidDel="00000000" w:rsidR="00000000" w:rsidRPr="00000000">
        <w:rPr>
          <w:b w:val="1"/>
          <w:bCs w:val="1"/>
          <w:rtl w:val="0"/>
        </w:rPr>
        <w:t xml:space="preserve">Layer 4: The Grid (Electricity &amp; Trade):</w:t>
      </w:r>
      <w:r w:rsidDel="00000000" w:rsidR="00000000" w:rsidRPr="00000000">
        <w:rPr>
          <w:rtl w:val="0"/>
        </w:rPr>
        <w:t xml:space="preserve"> Detail the 180,000 km of transmission lines and the 35+ major interties that facilitate the export of ~36 million MWh to the U.S..</w:t>
      </w:r>
    </w:p>
    <w:p w:rsidR="00000000" w:rsidDel="00000000" w:rsidP="00000000" w:rsidRDefault="00000000" w:rsidRPr="00000000" w14:paraId="00000008">
      <w:pPr>
        <w:numPr>
          <w:ilvl w:val="0"/>
          <w:numId w:val="8"/>
        </w:numPr>
        <w:spacing w:after="240" w:before="0" w:beforeAutospacing="0" w:line="275.9999942779541" w:lineRule="auto"/>
        <w:ind w:left="720" w:hanging="360"/>
      </w:pPr>
      <w:r w:rsidDel="00000000" w:rsidR="00000000" w:rsidRPr="00000000">
        <w:rPr>
          <w:b w:val="1"/>
          <w:bCs w:val="1"/>
          <w:rtl w:val="0"/>
        </w:rPr>
        <w:t xml:space="preserve">Layer 5: The Future (Renewables &amp; Transition):</w:t>
      </w:r>
      <w:r w:rsidDel="00000000" w:rsidR="00000000" w:rsidRPr="00000000">
        <w:rPr>
          <w:rtl w:val="0"/>
        </w:rPr>
        <w:t xml:space="preserve"> Highlight the 25 GW of installed wind, solar, and storage capacity and the 118 Indigenous-owned green energy projects.</w:t>
      </w:r>
    </w:p>
    <w:p w:rsidR="00000000" w:rsidDel="00000000" w:rsidP="00000000" w:rsidRDefault="00000000" w:rsidRPr="00000000" w14:paraId="00000009">
      <w:pPr>
        <w:pStyle w:val="Heading3"/>
        <w:spacing w:after="80" w:before="280" w:line="275.9999942779541" w:lineRule="auto"/>
        <w:rPr>
          <w:sz w:val="26"/>
          <w:szCs w:val="26"/>
        </w:rPr>
      </w:pPr>
      <w:bookmarkStart w:colFirst="0" w:colLast="0" w:name="_r95l7efh2q9z" w:id="1"/>
      <w:bookmarkEnd w:id="1"/>
      <w:r w:rsidDel="00000000" w:rsidR="00000000" w:rsidRPr="00000000">
        <w:rPr>
          <w:sz w:val="26"/>
          <w:szCs w:val="26"/>
          <w:rtl w:val="0"/>
        </w:rPr>
        <w:t xml:space="preserve">2. Getting Data Ready for the Website</w:t>
      </w:r>
    </w:p>
    <w:p w:rsidR="00000000" w:rsidDel="00000000" w:rsidP="00000000" w:rsidRDefault="00000000" w:rsidRPr="00000000" w14:paraId="0000000A">
      <w:pPr>
        <w:spacing w:after="240" w:before="240" w:line="275.9999942779541" w:lineRule="auto"/>
        <w:rPr/>
      </w:pPr>
      <w:r w:rsidDel="00000000" w:rsidR="00000000" w:rsidRPr="00000000">
        <w:rPr>
          <w:rtl w:val="0"/>
        </w:rPr>
        <w:t xml:space="preserve">To prepare the geospatial and technical data for web and AR integration, follow these technical steps:</w:t>
      </w:r>
    </w:p>
    <w:p w:rsidR="00000000" w:rsidDel="00000000" w:rsidP="00000000" w:rsidRDefault="00000000" w:rsidRPr="00000000" w14:paraId="0000000B">
      <w:pPr>
        <w:numPr>
          <w:ilvl w:val="0"/>
          <w:numId w:val="1"/>
        </w:numPr>
        <w:spacing w:after="0" w:afterAutospacing="0" w:before="240" w:line="275.9999942779541" w:lineRule="auto"/>
        <w:ind w:left="720" w:hanging="360"/>
      </w:pPr>
      <w:r w:rsidDel="00000000" w:rsidR="00000000" w:rsidRPr="00000000">
        <w:rPr>
          <w:b w:val="1"/>
          <w:bCs w:val="1"/>
          <w:rtl w:val="0"/>
        </w:rPr>
        <w:t xml:space="preserve">Data Conversion:</w:t>
      </w:r>
      <w:r w:rsidDel="00000000" w:rsidR="00000000" w:rsidRPr="00000000">
        <w:rPr>
          <w:rtl w:val="0"/>
        </w:rPr>
        <w:t xml:space="preserve"> Convert raw shapefiles from sources like the Canada Energy Regulator (CER) or the Alberta Geological Survey (AGS) into </w:t>
      </w:r>
      <w:r w:rsidDel="00000000" w:rsidR="00000000" w:rsidRPr="00000000">
        <w:rPr>
          <w:b w:val="1"/>
          <w:bCs w:val="1"/>
          <w:rtl w:val="0"/>
        </w:rPr>
        <w:t xml:space="preserve">GeoJSON</w:t>
      </w:r>
      <w:r w:rsidDel="00000000" w:rsidR="00000000" w:rsidRPr="00000000">
        <w:rPr>
          <w:rtl w:val="0"/>
        </w:rPr>
        <w:t xml:space="preserve"> or </w:t>
      </w:r>
      <w:r w:rsidDel="00000000" w:rsidR="00000000" w:rsidRPr="00000000">
        <w:rPr>
          <w:b w:val="1"/>
          <w:bCs w:val="1"/>
          <w:rtl w:val="0"/>
        </w:rPr>
        <w:t xml:space="preserve">Vector Tiles</w:t>
      </w:r>
      <w:r w:rsidDel="00000000" w:rsidR="00000000" w:rsidRPr="00000000">
        <w:rPr>
          <w:rtl w:val="0"/>
        </w:rPr>
        <w:t xml:space="preserve">. Use tools like </w:t>
      </w:r>
      <w:r w:rsidDel="00000000" w:rsidR="00000000" w:rsidRPr="00000000">
        <w:rPr>
          <w:rFonts w:ascii="Roboto Mono" w:cs="Roboto Mono" w:eastAsia="Roboto Mono" w:hAnsi="Roboto Mono"/>
          <w:color w:val="188038"/>
          <w:rtl w:val="0"/>
        </w:rPr>
        <w:t xml:space="preserve">ogr2ogr</w:t>
      </w:r>
      <w:r w:rsidDel="00000000" w:rsidR="00000000" w:rsidRPr="00000000">
        <w:rPr>
          <w:rtl w:val="0"/>
        </w:rPr>
        <w:t xml:space="preserve"> to ensure data is in the EPSG:4326 coordinate system.</w:t>
      </w:r>
    </w:p>
    <w:p w:rsidR="00000000" w:rsidDel="00000000" w:rsidP="00000000" w:rsidRDefault="00000000" w:rsidRPr="00000000" w14:paraId="0000000C">
      <w:pPr>
        <w:numPr>
          <w:ilvl w:val="0"/>
          <w:numId w:val="1"/>
        </w:numPr>
        <w:spacing w:after="0" w:afterAutospacing="0" w:before="0" w:beforeAutospacing="0" w:line="275.9999942779541" w:lineRule="auto"/>
        <w:ind w:left="720" w:hanging="360"/>
      </w:pPr>
      <w:r w:rsidDel="00000000" w:rsidR="00000000" w:rsidRPr="00000000">
        <w:rPr>
          <w:b w:val="1"/>
          <w:bCs w:val="1"/>
          <w:rtl w:val="0"/>
        </w:rPr>
        <w:t xml:space="preserve">Optimization:</w:t>
      </w:r>
      <w:r w:rsidDel="00000000" w:rsidR="00000000" w:rsidRPr="00000000">
        <w:rPr>
          <w:rtl w:val="0"/>
        </w:rPr>
        <w:t xml:space="preserve"> For web performance, "prune" unnecessary properties from your GeoJSON files and limit coordinate precision to a maximum of 6 decimal places.</w:t>
      </w:r>
    </w:p>
    <w:p w:rsidR="00000000" w:rsidDel="00000000" w:rsidP="00000000" w:rsidRDefault="00000000" w:rsidRPr="00000000" w14:paraId="0000000D">
      <w:pPr>
        <w:numPr>
          <w:ilvl w:val="0"/>
          <w:numId w:val="1"/>
        </w:numPr>
        <w:spacing w:after="0" w:afterAutospacing="0" w:before="0" w:beforeAutospacing="0" w:line="275.9999942779541" w:lineRule="auto"/>
        <w:ind w:left="720" w:hanging="360"/>
      </w:pPr>
      <w:r w:rsidDel="00000000" w:rsidR="00000000" w:rsidRPr="00000000">
        <w:rPr>
          <w:b w:val="1"/>
          <w:bCs w:val="1"/>
          <w:rtl w:val="0"/>
        </w:rPr>
        <w:t xml:space="preserve">Web Mapping:</w:t>
      </w:r>
      <w:r w:rsidDel="00000000" w:rsidR="00000000" w:rsidRPr="00000000">
        <w:rPr>
          <w:rtl w:val="0"/>
        </w:rPr>
        <w:t xml:space="preserve"> Use libraries like </w:t>
      </w:r>
      <w:r w:rsidDel="00000000" w:rsidR="00000000" w:rsidRPr="00000000">
        <w:rPr>
          <w:b w:val="1"/>
          <w:bCs w:val="1"/>
          <w:rtl w:val="0"/>
        </w:rPr>
        <w:t xml:space="preserve">Mapbox GL JS</w:t>
      </w:r>
      <w:r w:rsidDel="00000000" w:rsidR="00000000" w:rsidRPr="00000000">
        <w:rPr>
          <w:rtl w:val="0"/>
        </w:rPr>
        <w:t xml:space="preserve"> or </w:t>
      </w:r>
      <w:r w:rsidDel="00000000" w:rsidR="00000000" w:rsidRPr="00000000">
        <w:rPr>
          <w:b w:val="1"/>
          <w:bCs w:val="1"/>
          <w:rtl w:val="0"/>
        </w:rPr>
        <w:t xml:space="preserve">Leaflet</w:t>
      </w:r>
      <w:r w:rsidDel="00000000" w:rsidR="00000000" w:rsidRPr="00000000">
        <w:rPr>
          <w:rtl w:val="0"/>
        </w:rPr>
        <w:t xml:space="preserve"> to render your pipeline centerlines and basin polygons. Mapbox is particularly effective for handling large datasets through vector tiles.</w:t>
      </w:r>
    </w:p>
    <w:p w:rsidR="00000000" w:rsidDel="00000000" w:rsidP="00000000" w:rsidRDefault="00000000" w:rsidRPr="00000000" w14:paraId="0000000E">
      <w:pPr>
        <w:numPr>
          <w:ilvl w:val="0"/>
          <w:numId w:val="1"/>
        </w:numPr>
        <w:spacing w:after="240" w:before="0" w:beforeAutospacing="0" w:line="275.9999942779541" w:lineRule="auto"/>
        <w:ind w:left="720" w:hanging="360"/>
      </w:pPr>
      <w:r w:rsidDel="00000000" w:rsidR="00000000" w:rsidRPr="00000000">
        <w:rPr>
          <w:b w:val="1"/>
          <w:bCs w:val="1"/>
          <w:rtl w:val="0"/>
        </w:rPr>
        <w:t xml:space="preserve">AR Integration:</w:t>
      </w:r>
      <w:r w:rsidDel="00000000" w:rsidR="00000000" w:rsidRPr="00000000">
        <w:rPr>
          <w:rtl w:val="0"/>
        </w:rPr>
        <w:t xml:space="preserve"> For the lightweight AR component, use frameworks like </w:t>
      </w:r>
      <w:r w:rsidDel="00000000" w:rsidR="00000000" w:rsidRPr="00000000">
        <w:rPr>
          <w:b w:val="1"/>
          <w:bCs w:val="1"/>
          <w:rtl w:val="0"/>
        </w:rPr>
        <w:t xml:space="preserve">8th Wall</w:t>
      </w:r>
      <w:r w:rsidDel="00000000" w:rsidR="00000000" w:rsidRPr="00000000">
        <w:rPr>
          <w:rtl w:val="0"/>
        </w:rPr>
        <w:t xml:space="preserve"> or </w:t>
      </w:r>
      <w:r w:rsidDel="00000000" w:rsidR="00000000" w:rsidRPr="00000000">
        <w:rPr>
          <w:b w:val="1"/>
          <w:bCs w:val="1"/>
          <w:rtl w:val="0"/>
        </w:rPr>
        <w:t xml:space="preserve">A-Frame</w:t>
      </w:r>
      <w:r w:rsidDel="00000000" w:rsidR="00000000" w:rsidRPr="00000000">
        <w:rPr>
          <w:rtl w:val="0"/>
        </w:rPr>
        <w:t xml:space="preserve">. These allow you to trigger "headline" labels or 3D pipeline models via image targets (like a printed map) or world-tracking on a mobile browser.</w:t>
      </w:r>
    </w:p>
    <w:p w:rsidR="00000000" w:rsidDel="00000000" w:rsidP="00000000" w:rsidRDefault="00000000" w:rsidRPr="00000000" w14:paraId="0000000F">
      <w:pPr>
        <w:pStyle w:val="Heading3"/>
        <w:spacing w:after="80" w:before="280" w:line="275.9999942779541" w:lineRule="auto"/>
        <w:rPr>
          <w:sz w:val="26"/>
          <w:szCs w:val="26"/>
        </w:rPr>
      </w:pPr>
      <w:bookmarkStart w:colFirst="0" w:colLast="0" w:name="_41wtrobsiqc3" w:id="2"/>
      <w:bookmarkEnd w:id="2"/>
      <w:r w:rsidDel="00000000" w:rsidR="00000000" w:rsidRPr="00000000">
        <w:rPr>
          <w:sz w:val="26"/>
          <w:szCs w:val="26"/>
          <w:rtl w:val="0"/>
        </w:rPr>
        <w:t xml:space="preserve">3. Assigning Sources to Data</w:t>
      </w:r>
    </w:p>
    <w:p w:rsidR="00000000" w:rsidDel="00000000" w:rsidP="00000000" w:rsidRDefault="00000000" w:rsidRPr="00000000" w14:paraId="00000010">
      <w:pPr>
        <w:spacing w:after="240" w:before="240" w:line="275.9999942779541" w:lineRule="auto"/>
        <w:rPr/>
      </w:pPr>
      <w:r w:rsidDel="00000000" w:rsidR="00000000" w:rsidRPr="00000000">
        <w:rPr>
          <w:rtl w:val="0"/>
        </w:rPr>
        <w:t xml:space="preserve">Each section of your data maps directly to authorized government and industry repositories:</w:t>
      </w:r>
    </w:p>
    <w:p w:rsidR="00000000" w:rsidDel="00000000" w:rsidP="00000000" w:rsidRDefault="00000000" w:rsidRPr="00000000" w14:paraId="00000011">
      <w:pPr>
        <w:numPr>
          <w:ilvl w:val="0"/>
          <w:numId w:val="2"/>
        </w:numPr>
        <w:spacing w:after="0" w:afterAutospacing="0" w:before="240" w:line="275.9999942779541" w:lineRule="auto"/>
        <w:ind w:left="720" w:hanging="360"/>
      </w:pPr>
      <w:r w:rsidDel="00000000" w:rsidR="00000000" w:rsidRPr="00000000">
        <w:rPr>
          <w:b w:val="1"/>
          <w:bCs w:val="1"/>
          <w:rtl w:val="0"/>
        </w:rPr>
        <w:t xml:space="preserve">Refinery Capacities &amp; Locations:</w:t>
      </w:r>
      <w:r w:rsidDel="00000000" w:rsidR="00000000" w:rsidRPr="00000000">
        <w:rPr>
          <w:rtl w:val="0"/>
        </w:rPr>
        <w:t xml:space="preserve"> Sourced from the 2025-2026 Energy Fact Book and CER Market Snapshots.</w:t>
      </w:r>
    </w:p>
    <w:p w:rsidR="00000000" w:rsidDel="00000000" w:rsidP="00000000" w:rsidRDefault="00000000" w:rsidRPr="00000000" w14:paraId="00000012">
      <w:pPr>
        <w:numPr>
          <w:ilvl w:val="0"/>
          <w:numId w:val="2"/>
        </w:numPr>
        <w:spacing w:after="0" w:afterAutospacing="0" w:before="0" w:beforeAutospacing="0" w:line="275.9999942779541" w:lineRule="auto"/>
        <w:ind w:left="720" w:hanging="360"/>
      </w:pPr>
      <w:r w:rsidDel="00000000" w:rsidR="00000000" w:rsidRPr="00000000">
        <w:rPr>
          <w:b w:val="1"/>
          <w:bCs w:val="1"/>
          <w:rtl w:val="0"/>
        </w:rPr>
        <w:t xml:space="preserve">Pipeline Centerlines (Geoms):</w:t>
      </w:r>
      <w:r w:rsidDel="00000000" w:rsidR="00000000" w:rsidRPr="00000000">
        <w:rPr>
          <w:rtl w:val="0"/>
        </w:rPr>
        <w:t xml:space="preserve"> Accessible via the Government of Canada Open Data Portal and the North American Cooperation on Energy Information (NACEI).</w:t>
      </w:r>
    </w:p>
    <w:p w:rsidR="00000000" w:rsidDel="00000000" w:rsidP="00000000" w:rsidRDefault="00000000" w:rsidRPr="00000000" w14:paraId="00000013">
      <w:pPr>
        <w:numPr>
          <w:ilvl w:val="0"/>
          <w:numId w:val="2"/>
        </w:numPr>
        <w:spacing w:after="0" w:afterAutospacing="0" w:before="0" w:beforeAutospacing="0" w:line="275.9999942779541" w:lineRule="auto"/>
        <w:ind w:left="720" w:hanging="360"/>
      </w:pPr>
      <w:r w:rsidDel="00000000" w:rsidR="00000000" w:rsidRPr="00000000">
        <w:rPr>
          <w:b w:val="1"/>
          <w:bCs w:val="1"/>
          <w:rtl w:val="0"/>
        </w:rPr>
        <w:t xml:space="preserve">Electricity Trade &amp; Interties:</w:t>
      </w:r>
      <w:r w:rsidDel="00000000" w:rsidR="00000000" w:rsidRPr="00000000">
        <w:rPr>
          <w:rtl w:val="0"/>
        </w:rPr>
        <w:t xml:space="preserve"> Data derived from Statistics Canada and the Canadian Electricity Association.</w:t>
      </w:r>
    </w:p>
    <w:p w:rsidR="00000000" w:rsidDel="00000000" w:rsidP="00000000" w:rsidRDefault="00000000" w:rsidRPr="00000000" w14:paraId="00000014">
      <w:pPr>
        <w:numPr>
          <w:ilvl w:val="0"/>
          <w:numId w:val="2"/>
        </w:numPr>
        <w:spacing w:after="0" w:afterAutospacing="0" w:before="0" w:beforeAutospacing="0" w:line="275.9999942779541" w:lineRule="auto"/>
        <w:ind w:left="720" w:hanging="360"/>
      </w:pPr>
      <w:r w:rsidDel="00000000" w:rsidR="00000000" w:rsidRPr="00000000">
        <w:rPr>
          <w:b w:val="1"/>
          <w:bCs w:val="1"/>
          <w:rtl w:val="0"/>
        </w:rPr>
        <w:t xml:space="preserve">Storage Hub Capacities:</w:t>
      </w:r>
      <w:r w:rsidDel="00000000" w:rsidR="00000000" w:rsidRPr="00000000">
        <w:rPr>
          <w:rtl w:val="0"/>
        </w:rPr>
        <w:t xml:space="preserve"> Based on reports from the Canadian Gas Association and operator data from Gibson and Cenovus.</w:t>
      </w:r>
    </w:p>
    <w:p w:rsidR="00000000" w:rsidDel="00000000" w:rsidP="00000000" w:rsidRDefault="00000000" w:rsidRPr="00000000" w14:paraId="00000015">
      <w:pPr>
        <w:numPr>
          <w:ilvl w:val="0"/>
          <w:numId w:val="2"/>
        </w:numPr>
        <w:spacing w:after="240" w:before="0" w:beforeAutospacing="0" w:line="275.9999942779541" w:lineRule="auto"/>
        <w:ind w:left="720" w:hanging="360"/>
      </w:pPr>
      <w:r w:rsidDel="00000000" w:rsidR="00000000" w:rsidRPr="00000000">
        <w:rPr>
          <w:b w:val="1"/>
          <w:bCs w:val="1"/>
          <w:rtl w:val="0"/>
        </w:rPr>
        <w:t xml:space="preserve">Renewable Energy Metrics:</w:t>
      </w:r>
      <w:r w:rsidDel="00000000" w:rsidR="00000000" w:rsidRPr="00000000">
        <w:rPr>
          <w:rtl w:val="0"/>
        </w:rPr>
        <w:t xml:space="preserve"> Provided by the Canadian Renewable Energy Association and the IEA.</w:t>
      </w:r>
    </w:p>
    <w:p w:rsidR="00000000" w:rsidDel="00000000" w:rsidP="00000000" w:rsidRDefault="00000000" w:rsidRPr="00000000" w14:paraId="00000016">
      <w:pPr>
        <w:spacing w:after="240" w:before="240" w:line="275.9999942779541" w:lineRule="auto"/>
        <w:rPr/>
      </w:pPr>
      <w:r w:rsidDel="00000000" w:rsidR="00000000" w:rsidRPr="00000000">
        <w:rPr>
          <w:rtl w:val="0"/>
        </w:rPr>
        <w:t xml:space="preserve">By maintaining a </w:t>
      </w:r>
      <w:r w:rsidDel="00000000" w:rsidR="00000000" w:rsidRPr="00000000">
        <w:rPr>
          <w:b w:val="1"/>
          <w:bCs w:val="1"/>
          <w:rtl w:val="0"/>
        </w:rPr>
        <w:t xml:space="preserve">Hub-and-Spoke</w:t>
      </w:r>
      <w:r w:rsidDel="00000000" w:rsidR="00000000" w:rsidRPr="00000000">
        <w:rPr>
          <w:rtl w:val="0"/>
        </w:rPr>
        <w:t xml:space="preserve"> structure—where a central "Energy Dashboard" (the Hub) links to detailed "Profile Pages" for each pipeline or refinery (the Spokes)—you can build topical authority while keeping the user experience intuitive.</w:t>
      </w:r>
    </w:p>
    <w:p w:rsidR="00000000" w:rsidDel="00000000" w:rsidP="00000000" w:rsidRDefault="00000000" w:rsidRPr="00000000" w14:paraId="00000017">
      <w:pPr>
        <w:spacing w:after="120" w:before="0" w:line="275.9999942779541" w:lineRule="auto"/>
        <w:rPr/>
      </w:pPr>
      <w:r w:rsidDel="00000000" w:rsidR="00000000" w:rsidRPr="00000000">
        <w:rPr>
          <w:rtl w:val="0"/>
        </w:rPr>
      </w:r>
    </w:p>
    <w:p w:rsidR="00000000" w:rsidDel="00000000" w:rsidP="00000000" w:rsidRDefault="00000000" w:rsidRPr="00000000" w14:paraId="00000018">
      <w:pPr>
        <w:spacing w:after="120" w:before="0" w:line="275.9999942779541" w:lineRule="auto"/>
        <w:rPr/>
      </w:pPr>
      <w:r w:rsidDel="00000000" w:rsidR="00000000" w:rsidRPr="00000000">
        <w:rPr>
          <w:rtl w:val="0"/>
        </w:rPr>
      </w:r>
    </w:p>
    <w:p w:rsidR="00000000" w:rsidDel="00000000" w:rsidP="00000000" w:rsidRDefault="00000000" w:rsidRPr="00000000" w14:paraId="00000019">
      <w:pPr>
        <w:spacing w:after="120" w:before="0" w:line="275.9999942779541" w:lineRule="auto"/>
        <w:rPr/>
      </w:pPr>
      <w:r w:rsidDel="00000000" w:rsidR="00000000" w:rsidRPr="00000000">
        <w:rPr>
          <w:rtl w:val="0"/>
        </w:rPr>
      </w:r>
    </w:p>
    <w:p w:rsidR="00000000" w:rsidDel="00000000" w:rsidP="00000000" w:rsidRDefault="00000000" w:rsidRPr="00000000" w14:paraId="0000001A">
      <w:pPr>
        <w:spacing w:after="120" w:before="0" w:line="275.9999942779541" w:lineRule="auto"/>
        <w:rPr/>
      </w:pPr>
      <w:r w:rsidDel="00000000" w:rsidR="00000000" w:rsidRPr="00000000">
        <w:rPr>
          <w:rtl w:val="0"/>
        </w:rPr>
      </w:r>
    </w:p>
    <w:p w:rsidR="00000000" w:rsidDel="00000000" w:rsidP="00000000" w:rsidRDefault="00000000" w:rsidRPr="00000000" w14:paraId="0000001B">
      <w:pPr>
        <w:spacing w:after="120" w:before="0" w:line="275.9999942779541" w:lineRule="auto"/>
        <w:rPr/>
      </w:pPr>
      <w:r w:rsidDel="00000000" w:rsidR="00000000" w:rsidRPr="00000000">
        <w:rPr>
          <w:rtl w:val="0"/>
        </w:rPr>
      </w:r>
    </w:p>
    <w:p w:rsidR="00000000" w:rsidDel="00000000" w:rsidP="00000000" w:rsidRDefault="00000000" w:rsidRPr="00000000" w14:paraId="0000001C">
      <w:pPr>
        <w:spacing w:after="120" w:before="0" w:line="275.9999942779541" w:lineRule="auto"/>
        <w:rPr/>
      </w:pPr>
      <w:r w:rsidDel="00000000" w:rsidR="00000000" w:rsidRPr="00000000">
        <w:rPr>
          <w:rtl w:val="0"/>
        </w:rPr>
      </w:r>
    </w:p>
    <w:p w:rsidR="00000000" w:rsidDel="00000000" w:rsidP="00000000" w:rsidRDefault="00000000" w:rsidRPr="00000000" w14:paraId="0000001D">
      <w:pPr>
        <w:spacing w:after="120" w:before="0" w:line="275.9999942779541" w:lineRule="auto"/>
        <w:rPr/>
      </w:pPr>
      <w:r w:rsidDel="00000000" w:rsidR="00000000" w:rsidRPr="00000000">
        <w:rPr>
          <w:rtl w:val="0"/>
        </w:rPr>
      </w:r>
    </w:p>
    <w:p w:rsidR="00000000" w:rsidDel="00000000" w:rsidP="00000000" w:rsidRDefault="00000000" w:rsidRPr="00000000" w14:paraId="0000001E">
      <w:pPr>
        <w:spacing w:after="120" w:before="0" w:line="275.9999942779541" w:lineRule="auto"/>
        <w:rPr/>
      </w:pPr>
      <w:r w:rsidDel="00000000" w:rsidR="00000000" w:rsidRPr="00000000">
        <w:rPr>
          <w:rtl w:val="0"/>
        </w:rPr>
      </w:r>
    </w:p>
    <w:p w:rsidR="00000000" w:rsidDel="00000000" w:rsidP="00000000" w:rsidRDefault="00000000" w:rsidRPr="00000000" w14:paraId="0000001F">
      <w:pPr>
        <w:spacing w:after="120" w:before="0" w:line="275.9999942779541" w:lineRule="auto"/>
        <w:rPr/>
      </w:pPr>
      <w:r w:rsidDel="00000000" w:rsidR="00000000" w:rsidRPr="00000000">
        <w:rPr>
          <w:rtl w:val="0"/>
        </w:rPr>
      </w:r>
    </w:p>
    <w:p w:rsidR="00000000" w:rsidDel="00000000" w:rsidP="00000000" w:rsidRDefault="00000000" w:rsidRPr="00000000" w14:paraId="00000020">
      <w:pPr>
        <w:spacing w:after="120" w:before="0" w:line="275.9999942779541" w:lineRule="auto"/>
        <w:rPr/>
      </w:pPr>
      <w:r w:rsidDel="00000000" w:rsidR="00000000" w:rsidRPr="00000000">
        <w:rPr>
          <w:rtl w:val="0"/>
        </w:rPr>
      </w:r>
    </w:p>
    <w:p w:rsidR="00000000" w:rsidDel="00000000" w:rsidP="00000000" w:rsidRDefault="00000000" w:rsidRPr="00000000" w14:paraId="00000021">
      <w:pPr>
        <w:spacing w:after="120" w:before="0" w:line="275.9999942779541" w:lineRule="auto"/>
        <w:rPr/>
      </w:pPr>
      <w:r w:rsidDel="00000000" w:rsidR="00000000" w:rsidRPr="00000000">
        <w:rPr>
          <w:rtl w:val="0"/>
        </w:rPr>
      </w:r>
    </w:p>
    <w:p w:rsidR="00000000" w:rsidDel="00000000" w:rsidP="00000000" w:rsidRDefault="00000000" w:rsidRPr="00000000" w14:paraId="00000022">
      <w:pPr>
        <w:spacing w:after="120" w:before="0" w:line="275.9999942779541" w:lineRule="auto"/>
        <w:rPr/>
      </w:pPr>
      <w:r w:rsidDel="00000000" w:rsidR="00000000" w:rsidRPr="00000000">
        <w:rPr>
          <w:rtl w:val="0"/>
        </w:rPr>
      </w:r>
    </w:p>
    <w:p w:rsidR="00000000" w:rsidDel="00000000" w:rsidP="00000000" w:rsidRDefault="00000000" w:rsidRPr="00000000" w14:paraId="00000023">
      <w:pPr>
        <w:spacing w:after="120" w:before="0" w:line="275.9999942779541" w:lineRule="auto"/>
        <w:rPr/>
      </w:pPr>
      <w:r w:rsidDel="00000000" w:rsidR="00000000" w:rsidRPr="00000000">
        <w:rPr>
          <w:rtl w:val="0"/>
        </w:rPr>
      </w:r>
    </w:p>
    <w:p w:rsidR="00000000" w:rsidDel="00000000" w:rsidP="00000000" w:rsidRDefault="00000000" w:rsidRPr="00000000" w14:paraId="00000024">
      <w:pPr>
        <w:spacing w:after="120" w:before="0" w:line="275.9999942779541" w:lineRule="auto"/>
        <w:rPr/>
      </w:pPr>
      <w:r w:rsidDel="00000000" w:rsidR="00000000" w:rsidRPr="00000000">
        <w:rPr>
          <w:rtl w:val="0"/>
        </w:rPr>
      </w:r>
    </w:p>
    <w:p w:rsidR="00000000" w:rsidDel="00000000" w:rsidP="00000000" w:rsidRDefault="00000000" w:rsidRPr="00000000" w14:paraId="0000002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and Economic Integration of North American Energy Infrastructure: A Geospatial Analysis for Public Information Frameworks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complexity of the North American energy landscape necessitates a sophisticated approach to information architecture, particularly when bridging the gap between high-level public awareness and granular technical data. The challenge of informing a national audience about energy production, distribution, and consumption involves translating vast spatial datasets into intuitive visualizations. At the core of this effort is the reconciliation of Western Canada’s immense resource surplus with the energy-intensive demand centers of the Eastern provinces and the United States. This spatial disconnect is managed through a multi-layered infrastructure of pipelines, high-voltage transmission networks, and strategic storage hubs, all of which are grounded in the specific geological characteristics of sedimentary basins. By leveraging contemporary geospatial data formats, such as GeoJSON, ESRI REST services, and high-resolution centerlines, it is possible to move beyond abstract "point-to-point" representations toward a topologically accurate model of the continent’s energy architecture.</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Geological Foundations: Sedimentary Basins and Resource Potential</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energy trajectory of North America is fundamentally dictated by its subterranean geology, specifically the vast sedimentary basins that host the continent's hydrocarbon and mineral wealth. For a public-facing website and AR component, understanding the spatial extent of these basins provides the "why" behind the location of major infrastructure. The Western Canada Sedimentary Basin (WCSB) serves as the primary engine for the Canadian energy sector, covering approximately 1.4 million square kilometers across Alberta, Saskatchewan, British Columbia, and Manitoba.</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Western Canada Sedimentary Basin (WCSB) Architecture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WCSB is characterized by a massive wedge of sedimentary rocks that thickens from a zero-edge at the Canadian Shield in the northeast to over 6,000 meters in the Rocky Mountain Foothills to the southwest.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structural geometry is critical for mapping because it dictates the depth and type of resource extraction, from shallow natural gas to deep, liquids-rich formations like the Montney and Duvernay.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Alberta Geological Survey (AGS) provides the most comprehensive GIS datasets for the WCSB, derived from the Geological Atlas of the Western Canada Sedimentary Basin. These datasets include shapefiles for structural elements, isopachs, and paleogeography.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developers seeking "geoms" or detailed polylines and polygons rather than simple coordinates, the AGS repository offers grid data and shapefiles for several key figures in the Atlas.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instance, Figure 1 of Chapter 3 in the Atlas provides structural element line features that define the tectonic framework of the basin, while Chapter 33, Figure 2, provides the detailed boundaries of coalfields within the WCSB.</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Basin / Play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Geographical Coverage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Resource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Source and Format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WCSB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 BC, SK, MB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Oil, Natural Gas, Coal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AGS (Shapefile/Grid) </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Williston Basin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 MB, ND, MT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 Crude Oil, 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AGS / USGS (Shapefile) </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Montney 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 BC, NW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Liquids-rich 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AER / Shell Projects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Duvernay Formation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Central Alberta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Condensate, 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AER (Enhanced Shapefile) </w:t>
            </w:r>
            <w:r w:rsidDel="00000000" w:rsidR="00000000" w:rsidRPr="00000000">
              <w:rPr>
                <w:rFonts w:ascii="Google Sans" w:cs="Google Sans" w:eastAsia="Google Sans" w:hAnsi="Google Sans"/>
                <w:color w:val="444746"/>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Appalachian Basin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NY, PA, OH, WV, 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Shale Gas (Marcellus)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EIA (Shapefile/Isopach) </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Permian Basin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TX, NM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Tight Oil (Wolfcamp)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 EIA (Shapefile/Structure) </w:t>
            </w:r>
            <w:r w:rsidDel="00000000" w:rsidR="00000000" w:rsidRPr="00000000">
              <w:rPr>
                <w:rFonts w:ascii="Google Sans" w:cs="Google Sans" w:eastAsia="Google Sans" w:hAnsi="Google Sans"/>
                <w:color w:val="444746"/>
                <w:sz w:val="24"/>
                <w:szCs w:val="24"/>
                <w:vertAlign w:val="superscript"/>
                <w:rtl w:val="0"/>
              </w:rPr>
              <w:t xml:space="preserve">5</w:t>
            </w:r>
          </w:p>
        </w:tc>
      </w:tr>
    </w:tbl>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North American Basins Beyond the WCSB</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WCSB is the focus for Canadian energy production, an integrated North American map must account for basins that drive cross-border trade. The United States Geological Survey (USGS) identifies and describes 144 sedimentary basins across the United States and Canada that support projects ranging from resource assessment to Carbon Dioxide Sequestration.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Key keywords for geospatial queries in these datasets include the Bakken, Denver, Paradox, and Uinta basins, as well as the Arctic-adjacent Canada Basin.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 Energy Information Administration (EIA) provides shapefiles for sedimentary basin boundaries specifically for the Lower 48 states, last updated in 2016.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For a more granular view, the EIA also maintains detailed play boundaries, structure maps, and isopachs for high-activity areas like the Marcellus and the various sub-formations of the Permian Basin (Wolfcamp, Bone Spring, and Delaware).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files are essential for representing the resource potential that underpins the massive pipeline flows exiting these regions.</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Transcontinental Pipeline Network: Liquids and Natural Gas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 detailed mapping project, representing pipelines as simple vectors between cities fails to capture the true footprint of the infrastructure. The Canadian and U.S. governments provide access to "centerline" geospatial data, which represents the approximate physical path of the pipes as they follow rights-of-way through complex terrain.</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High-Resolution Geospatial Resources (Geoms)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technical requirement for "geoms" can be satisfied through several high-authority portals that provide GeoJSON, KML, and ESRI REST services. The North American Cooperation on Energy Information (NACEI) is a trilateral initiative that provides a unified ESRI REST MapServer for energy infrastructure across Canada, the U.S., and Mexico.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This service includes layers for liquids pipelines, natural gas pipelines, and border crossings, allowing for a seamless continental visualization.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Canada Energy Regulator (CER) hosts an interactive pipeline map representing approximately 90% of federally regulated operating pipelines.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data includes approximate spatial locations, operator information, and product types. For developers, the Open Government portal of Canada provides a dataset from the Government of New Brunswick containing centerline locations for major energy transmission pipelines, available in multiple formats including GeoJSON for web integration and KML for AR platforms.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Major Oil and Liquids Pipelines (&gt;100,000 bpd)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Canadian liquids pipeline system is dominated by a few massive networks that serve as the primary conduits for export. The Western Canada Sedimentary Basin produces more oil than domestic refineries can process, making export capacity the most critical metric for the sector's economic health.</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Pipeline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 (bpd)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Major Delivery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 Mainline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~3,100,000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Heavy/Light Crude, NGLs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Hardisty, Gretna, Superior, Sarnia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 Mountain (TMX)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 Mountain Corp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890,000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Crude Oil (Heavy/Light)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Edmonton, Burnaby, Westridge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Keystone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590,000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Crude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Hardisty, Steele City, Cushing, Patoka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Express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Crude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Hardisty, Casper, Wood River </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 Line 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Light/Medium Crude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Sarnia, Montreal (Reversed flow) </w:t>
            </w:r>
            <w:r w:rsidDel="00000000" w:rsidR="00000000" w:rsidRPr="00000000">
              <w:rPr>
                <w:rFonts w:ascii="Google Sans" w:cs="Google Sans" w:eastAsia="Google Sans" w:hAnsi="Google Sans"/>
                <w:color w:val="444746"/>
                <w:sz w:val="24"/>
                <w:szCs w:val="24"/>
                <w:vertAlign w:val="superscript"/>
                <w:rtl w:val="0"/>
              </w:rPr>
              <w:t xml:space="preserve">16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Trans-Northern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TNPI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Refined Products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Montreal, Toronto, Ottawa </w:t>
            </w:r>
            <w:r w:rsidDel="00000000" w:rsidR="00000000" w:rsidRPr="00000000">
              <w:rPr>
                <w:rFonts w:ascii="Google Sans" w:cs="Google Sans" w:eastAsia="Google Sans" w:hAnsi="Google Sans"/>
                <w:color w:val="444746"/>
                <w:sz w:val="24"/>
                <w:szCs w:val="24"/>
                <w:vertAlign w:val="superscript"/>
                <w:rtl w:val="0"/>
              </w:rPr>
              <w:t xml:space="preserve">21</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Enbridge Canadian Mainline achieved record annual average throughput of 3.08 million barrels per day (</w:t>
      </w:r>
      <w:r w:rsidDel="00000000" w:rsidR="00000000" w:rsidRPr="00000000">
        <w:rPr>
          <w:rFonts w:ascii="Google Sans" w:cs="Google Sans" w:eastAsia="Google Sans" w:hAnsi="Google Sans"/>
          <w:color w:val="1f1f1f"/>
        </w:rPr>
        <w:drawing>
          <wp:inline distB="19050" distT="19050" distL="19050" distR="19050">
            <wp:extent cx="645319" cy="227760"/>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5319" cy="227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its ex-Gretna key point in 2023, with utilization rates averaging 95%.</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completion of the Trans Mountain Expansion Project (TMEP) in May 2024 represents a paradigm shift for the Canadian energy sector, tripling the capacity of the system from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635347" cy="218104"/>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635347" cy="2181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267444" cy="229238"/>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67444" cy="2292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expansion provides "tidewater" access, allowing Canadian crude to reach the U.S. West Coast and Asian markets, thereby reducing the heavy reliance on the U.S. Midwest.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Gas Transmission and Flows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gas pipelines are analyzed in terms of daily throughput (</w:t>
      </w:r>
      <w:r w:rsidDel="00000000" w:rsidR="00000000" w:rsidRPr="00000000">
        <w:rPr>
          <w:rFonts w:ascii="Google Sans" w:cs="Google Sans" w:eastAsia="Google Sans" w:hAnsi="Google Sans"/>
          <w:color w:val="1f1f1f"/>
        </w:rPr>
        <w:drawing>
          <wp:inline distB="19050" distT="19050" distL="19050" distR="19050">
            <wp:extent cx="527744" cy="230288"/>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744" cy="230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are subject to high seasonal variability. The NGTL System in Alberta and British Columbia is the most significant gathering and intra-Canada delivery network, with a capacity utilization often exceeding 88% on its 11.2 </w:t>
      </w:r>
      <w:r w:rsidDel="00000000" w:rsidR="00000000" w:rsidRPr="00000000">
        <w:rPr>
          <w:rFonts w:ascii="Google Sans" w:cs="Google Sans" w:eastAsia="Google Sans" w:hAnsi="Google Sans"/>
          <w:color w:val="1f1f1f"/>
        </w:rPr>
        <w:drawing>
          <wp:inline distB="19050" distT="19050" distL="19050" distR="19050">
            <wp:extent cx="527744" cy="230288"/>
            <wp:effectExtent b="0" l="0" r="0" t="0"/>
            <wp:docPr id="7"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744" cy="230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system.</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Natural Gas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 (Bcf/d)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NGTL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AB/BC Gathering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utilization (up to 98% at West Gate)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 Canadian Mainline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WCSB to Eastern 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Serves Ontario, Quebec, and US NE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Foothills System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5.1 (Combined)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Export to US Midwest/West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Primary export conduit from WCSB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Alliance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Enbridge/Pembina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WCSB to Chicago area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Liquids-rich gas; consistently full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Westcoast (BC Pipeline)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Enbridge Inc.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 BC to US border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Record throughput in Q1 2025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Coastal GasLink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TC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 BC to Kitimat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Supplies LNG Canada facility </w:t>
            </w:r>
            <w:r w:rsidDel="00000000" w:rsidR="00000000" w:rsidRPr="00000000">
              <w:rPr>
                <w:rFonts w:ascii="Google Sans" w:cs="Google Sans" w:eastAsia="Google Sans" w:hAnsi="Google Sans"/>
                <w:color w:val="444746"/>
                <w:sz w:val="24"/>
                <w:szCs w:val="24"/>
                <w:vertAlign w:val="superscript"/>
                <w:rtl w:val="0"/>
              </w:rPr>
              <w:t xml:space="preserve">15</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major milestone in natural gas infrastructure was the loading of the first cargo from the LNG Canada facility in June 2025.</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facility is supplied by the Coastal GasLink pipeline and represents Canada's entry into the global LNG export market. Two additional facilities, Woodfibre LNG and Cedar LNG, are currently under construction, which will further increase the demand for pipeline takeaway from the Montney formation.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Refining and Processing: Converting Resources into Products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Canada’s refining industry is the 11th largest in the world by capacity, with 16 operating refineries (including two asphalt refineries) and several upgraders.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facilities are generally clustered in three regions: Western Canada (near oil sands production), Ontario (near the Sarnia petrochemical hub), and Quebec/Atlantic Canada (near major waterways for import/export).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Refinery Inventory (2025 Data)</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table details the primary refining assets in Canada, their locations, and their processing capacities. Most Canadian refineries are configured for light crude, with limited heavy oil refining capacity, which explains why a large portion of Canadian heavy oil is exported to the U.S. Gulf Coast for processing.</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Refinery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 (Mb/d)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Products / Configuration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Saint John Refinery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Irving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Saint John, NB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Gasoline, Diesel, Jet Fuel, Kerosene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Jean Gaulin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Valero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Levis, QC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Gasoline, Diesel, Heating Oil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Strathcona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Imperial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Strathcona,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186-191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Gasoline, Lube oils, Aviation fuel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Edmonton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Suncor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Edmonton,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142-146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Processes synthetic crude from oil sands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Suncor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Montreal, QC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Refined products for Eastern Canada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Co-op Refinery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FCL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Regina, SK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Distillates and fuels for the Prairies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Imperial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Sarnia,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Chemicals and fuels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Nanticoke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Imperial Oil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Nanticoke,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Gasoline and distillates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Scotford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Scotford,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Integrated with Upgrader and CCS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Sarnia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Suncor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Sarnia,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Petrochemical and fuel production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Corunna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Shell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Sarnia, 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Heavy fuel oils and feedstocks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Burnaby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Parkland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Burnaby, 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fuel supply; co-processing bio-feed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Lloydminster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Cenovus/Husky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Lloydminster,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Primarily Asphalt and heavy distillates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Prince George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Tidewater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Prince George, 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Regional diesel and gasoline supply </w:t>
            </w:r>
            <w:r w:rsidDel="00000000" w:rsidR="00000000" w:rsidRPr="00000000">
              <w:rPr>
                <w:rFonts w:ascii="Google Sans" w:cs="Google Sans" w:eastAsia="Google Sans" w:hAnsi="Google Sans"/>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Sturgeon Refinery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NW Redwater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Redwater, AB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Diesel and Naphtha; low-carbon footprint </w:t>
            </w:r>
            <w:r w:rsidDel="00000000" w:rsidR="00000000" w:rsidRPr="00000000">
              <w:rPr>
                <w:rFonts w:ascii="Google Sans" w:cs="Google Sans" w:eastAsia="Google Sans" w:hAnsi="Google Sans"/>
                <w:color w:val="444746"/>
                <w:sz w:val="24"/>
                <w:szCs w:val="24"/>
                <w:vertAlign w:val="superscript"/>
                <w:rtl w:val="0"/>
              </w:rPr>
              <w:t xml:space="preserve">27</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2025, Canadian refineries consumed 1.6 </w:t>
      </w:r>
      <w:r w:rsidDel="00000000" w:rsidR="00000000" w:rsidRPr="00000000">
        <w:rPr>
          <w:rFonts w:ascii="Google Sans" w:cs="Google Sans" w:eastAsia="Google Sans" w:hAnsi="Google Sans"/>
          <w:color w:val="1f1f1f"/>
        </w:rPr>
        <w:drawing>
          <wp:inline distB="19050" distT="19050" distL="19050" distR="19050">
            <wp:extent cx="645319" cy="22776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645319" cy="227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crude oil, representing 90% of their nameplate capacity.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Approximately 20% of the refined products produced in Canada are exported, primarily from New Brunswick, Quebec, and Alberta.</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A significant trend in the refining sector is the transition to renewable fuels. For example, the Braya Refinery in Newfoundland converted from crude oil to biofuel in 2023, and companies like Parkland and Imperial Oil are increasingly proposing renewable fuel facilities using organic feedstocks.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F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Hubs: Managing Supply and Demand Volatility</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Storage facilities act as critical buffers for the energy system, allowing for the injection of resources during periods of low demand and withdrawal during peak periods. For oil, the Hardisty complex in Alberta is the most important hub in Canada.</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For natural gas, the Dawn hub in Ontario is one of the most significant in North America.</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F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Oil Storage: The Hardisty Hub</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Hardisty, Alberta, serves as the central collection and distribution point for WCSB crude oil. It is the origination point for major export pipelines like Keystone and the Enbridge Mainline.</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Capacity (Million Barrels)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Features / Connectivity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Hardisty Terminal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Gibson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43 tanks; connected to major pipelines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Hardisty Terminal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Husky/Cenovus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19 tanks; exclusive WCS blender </w:t>
            </w:r>
            <w:r w:rsidDel="00000000" w:rsidR="00000000" w:rsidRPr="00000000">
              <w:rPr>
                <w:rFonts w:ascii="Google Sans" w:cs="Google Sans" w:eastAsia="Google Sans" w:hAnsi="Google Sans"/>
                <w:color w:val="444746"/>
                <w:sz w:val="24"/>
                <w:szCs w:val="24"/>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Hardisty South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USD Partners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Rail loading capability (~210,000 bpd) </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Hardisty Complex (Total)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Heart of the heavy crude export system </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Gas Storage Capacities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Canada has a total underground natural gas storage capacity of approximately 949 billion cubic feet (</w:t>
      </w:r>
      <w:r w:rsidDel="00000000" w:rsidR="00000000" w:rsidRPr="00000000">
        <w:rPr>
          <w:rFonts w:ascii="Google Sans" w:cs="Google Sans" w:eastAsia="Google Sans" w:hAnsi="Google Sans"/>
          <w:color w:val="1f1f1f"/>
        </w:rPr>
        <w:drawing>
          <wp:inline distB="19050" distT="19050" distL="19050" distR="19050">
            <wp:extent cx="296912" cy="201134"/>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296912" cy="2011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facilities are typically depleted gas fields or salt caverns.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Storage Capacity (Bcf)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Dominant Storage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Alberta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Depleted Fields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Producer and pipeline balancing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Ontario (Dawn Hub)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Depleted Fields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Winter demand for ON/QC </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British Columbia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Aitken Creek Facility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Largest single facility in BC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Saskatchewan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Various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Regional balancing </w:t>
            </w:r>
            <w:r w:rsidDel="00000000" w:rsidR="00000000" w:rsidRPr="00000000">
              <w:rPr>
                <w:rFonts w:ascii="Google Sans" w:cs="Google Sans" w:eastAsia="Google Sans" w:hAnsi="Google Sans"/>
                <w:color w:val="444746"/>
                <w:sz w:val="24"/>
                <w:szCs w:val="24"/>
                <w:vertAlign w:val="superscript"/>
                <w:rtl w:val="0"/>
              </w:rPr>
              <w:t xml:space="preserve">30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Quebec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Salt Caverns / LNG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Local peak shaving </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ability to store gas is vital for winter reliability. In Eastern Canada, storage is used almost exclusively by Local Distribution Companies (LDCs) to meet the heating demands of residential and commercial customers in Ontario and Quebec.</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1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Electrical Grid: Interconnections and Trade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Canada's electricity grid is a vast, interconnected network extending over 160,000 kilometers of transmission lines.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While provinces have primary jurisdiction over their internal grids, the Canada Energy Regulator (CER) regulates 86 international power lines that connect Canada to the United States.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Grid Infrastructure and Interties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Canadian transmission network is characterized by "north-south" backbones, linking major hydroelectric projects in northern regions to load centers and the U.S. border.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Transmission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Total Line Length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160,000 - 180,000 km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Vast network requiring constant maintenance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Cross-Border Interties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35 - 37 major lines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86 lines total regulated by CER </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North-South Transfer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28 GW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Primarily for export from hydro provinces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East-West Transfer Capability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 GW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Significant bottleneck for inter-provincial trade </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Highest Voltage Line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765 kV</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Located in Quebec for long-distance export </w:t>
            </w:r>
            <w:r w:rsidDel="00000000" w:rsidR="00000000" w:rsidRPr="00000000">
              <w:rPr>
                <w:rFonts w:ascii="Google Sans" w:cs="Google Sans" w:eastAsia="Google Sans" w:hAnsi="Google Sans"/>
                <w:color w:val="444746"/>
                <w:sz w:val="24"/>
                <w:szCs w:val="24"/>
                <w:vertAlign w:val="superscript"/>
                <w:rtl w:val="0"/>
              </w:rPr>
              <w:t xml:space="preserve">34</w:t>
            </w:r>
          </w:p>
        </w:tc>
      </w:tr>
    </w:tbl>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lack of robust east-west integration is a major challenge for the energy transition. Currently, it is often more efficient for a province like Quebec to export power to New York than to send it to Ontario or New Brunswick.</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Under the Global Net-zero Scenario, inter-provincial transmission capacity is projected to increase by 27% by 2035 to enable more electricity transfers across the western provinces (BC, AB, SK, and MB).</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Electricity Trade Flows (2024 Data)</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Canada is a net exporter of electricity to the United States. In 2024, total exports reached 36.1 million megawatt-hours (</w:t>
      </w:r>
      <w:r w:rsidDel="00000000" w:rsidR="00000000" w:rsidRPr="00000000">
        <w:rPr>
          <w:rFonts w:ascii="Google Sans" w:cs="Google Sans" w:eastAsia="Google Sans" w:hAnsi="Google Sans"/>
          <w:color w:val="1f1f1f"/>
        </w:rPr>
        <w:drawing>
          <wp:inline distB="19050" distT="19050" distL="19050" distR="19050">
            <wp:extent cx="419397" cy="200167"/>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19397" cy="2001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though this was a decline from previous years due to drought conditions affecting hydroelectric generation in Quebec and Manitoba.</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8"/>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Province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Exports (MWh)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Largest Customer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Energy Source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Ontario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12.8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York, Michigan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Nuclear, Hydro, Wind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British Columbia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6.3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Washington, Oregon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Hydro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Manitoba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6.0 million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Minnesota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Hydro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Quebec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3.9 million (Imports)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Vermont, New York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Hydro </w:t>
            </w:r>
            <w:r w:rsidDel="00000000" w:rsidR="00000000" w:rsidRPr="00000000">
              <w:rPr>
                <w:rFonts w:ascii="Google Sans" w:cs="Google Sans" w:eastAsia="Google Sans" w:hAnsi="Google Sans"/>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New Brunswick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Localized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Maine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Nuclear, Hydro </w:t>
            </w:r>
            <w:r w:rsidDel="00000000" w:rsidR="00000000" w:rsidRPr="00000000">
              <w:rPr>
                <w:rFonts w:ascii="Google Sans" w:cs="Google Sans" w:eastAsia="Google Sans" w:hAnsi="Google Sans"/>
                <w:color w:val="444746"/>
                <w:sz w:val="24"/>
                <w:szCs w:val="24"/>
                <w:vertAlign w:val="superscript"/>
                <w:rtl w:val="0"/>
              </w:rPr>
              <w:t xml:space="preserve">33</w:t>
            </w:r>
          </w:p>
        </w:tc>
      </w:tr>
    </w:tbl>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Ontario was the largest electricity exporter in 2024, accounting for over 33% of Canada's total sales to the U.S..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British Columbia has the greatest reach, selling electricity to 13 different states.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Conversely, provinces like British Columbia and Quebec increased their imports from the U.S. in 2024 to compensate for lower hydroelectric reservoir levels.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1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Oil and Gas Pricing Benchmarks</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economics of the Canadian energy sector are dictated by the relationship between Canadian benchmarks and global reference prices. The price Western Canadian producers receive is typically the West Texas Intermediate (WTI) price minus a "differential" that accounts for transportation costs and the difference in oil quality (heavy vs. light).</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Crude Oil Pricing Benchmarks (2026 Forecast/Actuals)</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Benchmark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March 2026 Price (US/bbl)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significance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WTI (Cushing)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$91.38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Global reference price for light crude oil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WCS (Hardisty)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Benchmark for Canadian heavy crude </w:t>
            </w:r>
            <w:r w:rsidDel="00000000" w:rsidR="00000000" w:rsidRPr="00000000">
              <w:rPr>
                <w:rFonts w:ascii="Google Sans" w:cs="Google Sans" w:eastAsia="Google Sans" w:hAnsi="Google Sans"/>
                <w:color w:val="444746"/>
                <w:sz w:val="24"/>
                <w:szCs w:val="24"/>
                <w:vertAlign w:val="superscript"/>
                <w:rtl w:val="0"/>
              </w:rPr>
              <w:t xml:space="preserve">39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Brent Crude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European / Global offshore benchmark </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WTI-WCS Differential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~$15.50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Narrowed significantly after TMX completion </w:t>
            </w:r>
            <w:r w:rsidDel="00000000" w:rsidR="00000000" w:rsidRPr="00000000">
              <w:rPr>
                <w:rFonts w:ascii="Google Sans" w:cs="Google Sans" w:eastAsia="Google Sans" w:hAnsi="Google Sans"/>
                <w:color w:val="444746"/>
                <w:sz w:val="24"/>
                <w:szCs w:val="24"/>
                <w:vertAlign w:val="superscript"/>
                <w:rtl w:val="0"/>
              </w:rPr>
              <w:t xml:space="preserve">23</w:t>
            </w:r>
          </w:p>
        </w:tc>
      </w:tr>
    </w:tbl>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Before the completion of the Trans Mountain Expansion, the WCS-WTI differential frequently widened to over </w:t>
      </w:r>
      <w:r w:rsidDel="00000000" w:rsidR="00000000" w:rsidRPr="00000000">
        <w:rPr>
          <w:rFonts w:ascii="Google Sans" w:cs="Google Sans" w:eastAsia="Google Sans" w:hAnsi="Google Sans"/>
          <w:color w:val="1f1f1f"/>
        </w:rPr>
        <w:drawing>
          <wp:inline distB="19050" distT="19050" distL="19050" distR="19050">
            <wp:extent cx="269825" cy="231279"/>
            <wp:effectExtent b="0" l="0" r="0" t="0"/>
            <wp:docPr id="12"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9825" cy="231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18.00 per barrel due to pipeline constraints.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Since May 2024, the differential has narrowed to approximately </w:t>
      </w:r>
      <w:r w:rsidDel="00000000" w:rsidR="00000000" w:rsidRPr="00000000">
        <w:rPr>
          <w:rFonts w:ascii="Google Sans" w:cs="Google Sans" w:eastAsia="Google Sans" w:hAnsi="Google Sans"/>
          <w:color w:val="1f1f1f"/>
        </w:rPr>
        <w:drawing>
          <wp:inline distB="19050" distT="19050" distL="19050" distR="19050">
            <wp:extent cx="269825" cy="231279"/>
            <wp:effectExtent b="0" l="0" r="0" t="0"/>
            <wp:docPr id="10"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9825" cy="231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12.00-</w:t>
      </w:r>
      <w:r w:rsidDel="00000000" w:rsidR="00000000" w:rsidRPr="00000000">
        <w:rPr>
          <w:rFonts w:ascii="Google Sans" w:cs="Google Sans" w:eastAsia="Google Sans" w:hAnsi="Google Sans"/>
          <w:color w:val="1f1f1f"/>
        </w:rPr>
        <w:drawing>
          <wp:inline distB="19050" distT="19050" distL="19050" distR="19050">
            <wp:extent cx="269825" cy="231279"/>
            <wp:effectExtent b="0" l="0" r="0" t="0"/>
            <wp:docPr id="1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269825" cy="231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15.00 per barrel, which is consistent with historical levels for an unconstrained market.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narrowing has directly increased the value of Canadian crude and reduced the need for expensive crude-by-rail exports, which hit a 13-year low in early 2026.</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Natural Gas Pricing and LNG Exports</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Natural gas prices in North America (Henry Hub and AECO) are generally much lower than in Asia or Europe. This price differential is the primary driver for Canada’s burgeoning LNG export industry.</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7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Henry Hub (HH):</w:t>
      </w:r>
      <w:r w:rsidDel="00000000" w:rsidR="00000000" w:rsidRPr="00000000">
        <w:rPr>
          <w:rFonts w:ascii="Google Sans" w:cs="Google Sans" w:eastAsia="Google Sans" w:hAnsi="Google Sans"/>
          <w:color w:val="1f1f1f"/>
          <w:rtl w:val="0"/>
        </w:rPr>
        <w:t xml:space="preserve"> The primary North American benchmark.</w:t>
      </w:r>
    </w:p>
    <w:p w:rsidR="00000000" w:rsidDel="00000000" w:rsidP="00000000" w:rsidRDefault="00000000" w:rsidRPr="00000000" w14:paraId="0000017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NOVA (NIT) / AECO:</w:t>
      </w:r>
      <w:r w:rsidDel="00000000" w:rsidR="00000000" w:rsidRPr="00000000">
        <w:rPr>
          <w:rFonts w:ascii="Google Sans" w:cs="Google Sans" w:eastAsia="Google Sans" w:hAnsi="Google Sans"/>
          <w:color w:val="1f1f1f"/>
          <w:rtl w:val="0"/>
        </w:rPr>
        <w:t xml:space="preserve"> The primary Western Canadian benchmark.</w:t>
      </w:r>
    </w:p>
    <w:p w:rsidR="00000000" w:rsidDel="00000000" w:rsidP="00000000" w:rsidRDefault="00000000" w:rsidRPr="00000000" w14:paraId="0000017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Export Trends:</w:t>
      </w:r>
      <w:r w:rsidDel="00000000" w:rsidR="00000000" w:rsidRPr="00000000">
        <w:rPr>
          <w:rFonts w:ascii="Google Sans" w:cs="Google Sans" w:eastAsia="Google Sans" w:hAnsi="Google Sans"/>
          <w:color w:val="1f1f1f"/>
          <w:rtl w:val="0"/>
        </w:rPr>
        <w:t xml:space="preserve"> In 2024, Canada exported 8.8 </w:t>
      </w:r>
      <w:r w:rsidDel="00000000" w:rsidR="00000000" w:rsidRPr="00000000">
        <w:rPr>
          <w:rFonts w:ascii="Google Sans" w:cs="Google Sans" w:eastAsia="Google Sans" w:hAnsi="Google Sans"/>
          <w:color w:val="1f1f1f"/>
        </w:rPr>
        <w:drawing>
          <wp:inline distB="19050" distT="19050" distL="19050" distR="19050">
            <wp:extent cx="527744" cy="230288"/>
            <wp:effectExtent b="0" l="0" r="0" t="0"/>
            <wp:docPr id="1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27744" cy="2302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the U.S., the highest level since 2010.</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 total value of these exports fell by one-third because of a sharp decline in export prices.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17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Green Energy Initiatives and the Net-Zero Transition</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Canada’s energy system is undergoing a rapid transformation to meet climate goals. As of 2023, approximately one-sixth of Canada's end-use demand came from renewable energy.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Canada currently ranks as the fourth-largest global producer of renewable electricity.</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Renewable Generation and Capacity Growth</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Hydroelectricity remains the "backbone" of the system, supplying nearly 58% of Canada's electricity in 2023.</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non-hydro renewables are the fastest-growing segment.</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Renewable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Status and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Factoid for AR Visualization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Wind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19 GW installed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Capacity tripled since 2011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Solar 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 GW installed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Capacity is 16x larger than in 2012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Energy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 GW installed (2025)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Essential for managing wind/solar variability </w:t>
            </w:r>
            <w:r w:rsidDel="00000000" w:rsidR="00000000" w:rsidRPr="00000000">
              <w:rPr>
                <w:rFonts w:ascii="Google Sans" w:cs="Google Sans" w:eastAsia="Google Sans" w:hAnsi="Google Sans"/>
                <w:color w:val="444746"/>
                <w:sz w:val="24"/>
                <w:szCs w:val="24"/>
                <w:vertAlign w:val="superscript"/>
                <w:rtl w:val="0"/>
              </w:rPr>
              <w:t xml:space="preserve">43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Bioenergy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&gt;500 RNG facilities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Uses organic waste to produce low-carbon gas </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Hydroelectricity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3rd largest producer globally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Supplies 61.6% of total electricity supply </w:t>
            </w:r>
            <w:r w:rsidDel="00000000" w:rsidR="00000000" w:rsidRPr="00000000">
              <w:rPr>
                <w:rFonts w:ascii="Google Sans" w:cs="Google Sans" w:eastAsia="Google Sans" w:hAnsi="Google Sans"/>
                <w:color w:val="444746"/>
                <w:sz w:val="24"/>
                <w:szCs w:val="24"/>
                <w:vertAlign w:val="superscript"/>
                <w:rtl w:val="0"/>
              </w:rPr>
              <w:t xml:space="preserve">44</w:t>
            </w:r>
          </w:p>
        </w:tc>
      </w:tr>
    </w:tbl>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Indigenous participation is a critical component of this transition. There are currently 118 Indigenous-owned wind, solar, and energy storage projects in operation across Canada.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nearly every major renewable procurement process in 2025 included specific criteria for Indigenous ownership or participation.</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1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Carbon Capture and Emerging Technologies</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address emissions from the oil and gas sector, which accounts for about 25% of Canada's total GHG emissions, large-scale Carbon Capture and Storage (CCS) is being deployed.</w:t>
      </w:r>
      <w:r w:rsidDel="00000000" w:rsidR="00000000" w:rsidRPr="00000000">
        <w:rPr>
          <w:rFonts w:ascii="Google Sans" w:cs="Google Sans" w:eastAsia="Google Sans" w:hAnsi="Google Sans"/>
          <w:color w:val="444746"/>
          <w:sz w:val="24"/>
          <w:szCs w:val="24"/>
          <w:vertAlign w:val="superscript"/>
          <w:rtl w:val="0"/>
        </w:rPr>
        <w:t xml:space="preserve">45</w:t>
      </w:r>
    </w:p>
    <w:p w:rsidR="00000000" w:rsidDel="00000000" w:rsidP="00000000" w:rsidRDefault="00000000" w:rsidRPr="00000000" w14:paraId="0000019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Quest CCS:</w:t>
      </w:r>
      <w:r w:rsidDel="00000000" w:rsidR="00000000" w:rsidRPr="00000000">
        <w:rPr>
          <w:rFonts w:ascii="Google Sans" w:cs="Google Sans" w:eastAsia="Google Sans" w:hAnsi="Google Sans"/>
          <w:color w:val="1f1f1f"/>
          <w:rtl w:val="0"/>
        </w:rPr>
        <w:t xml:space="preserve"> Located at the Shell Scotford upgrader, it captures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from hydrogen production.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9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Polaris and Atlas Hub:</w:t>
      </w:r>
      <w:r w:rsidDel="00000000" w:rsidR="00000000" w:rsidRPr="00000000">
        <w:rPr>
          <w:rFonts w:ascii="Google Sans" w:cs="Google Sans" w:eastAsia="Google Sans" w:hAnsi="Google Sans"/>
          <w:color w:val="1f1f1f"/>
          <w:rtl w:val="0"/>
        </w:rPr>
        <w:t xml:space="preserve"> The Polaris project will provide additional capture capacity at Scotford, while the Atlas Carbon Storage Hub will provide permanent underground storage for the captured </w:t>
      </w:r>
      <w:r w:rsidDel="00000000" w:rsidR="00000000" w:rsidRPr="00000000">
        <w:rPr>
          <w:rFonts w:ascii="Google Sans" w:cs="Google Sans" w:eastAsia="Google Sans" w:hAnsi="Google Sans"/>
          <w:color w:val="1f1f1f"/>
        </w:rPr>
        <w:drawing>
          <wp:inline distB="19050" distT="19050" distL="19050" distR="19050">
            <wp:extent cx="359420" cy="227002"/>
            <wp:effectExtent b="0" l="0" r="0" t="0"/>
            <wp:docPr id="15"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359420" cy="227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195">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Hydrogen:</w:t>
      </w:r>
      <w:r w:rsidDel="00000000" w:rsidR="00000000" w:rsidRPr="00000000">
        <w:rPr>
          <w:rFonts w:ascii="Google Sans" w:cs="Google Sans" w:eastAsia="Google Sans" w:hAnsi="Google Sans"/>
          <w:color w:val="1f1f1f"/>
          <w:rtl w:val="0"/>
        </w:rPr>
        <w:t xml:space="preserve"> Low-emitting hydrogen is projected to become a major part of the end-use mix, particularly in heavy industry and for export.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96">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 Headline Metrics and Educational Factoids</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AR component of the project, data must be distilled into high-impact "headline" numbers that resonate with the average Canadian. These figures highlight Canada's global standing and the economic scale of the energy sector.</w:t>
      </w:r>
    </w:p>
    <w:p w:rsidR="00000000" w:rsidDel="00000000" w:rsidP="00000000" w:rsidRDefault="00000000" w:rsidRPr="00000000" w14:paraId="000001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Rankings for Canada (2025-2026)</w:t>
      </w:r>
    </w:p>
    <w:p w:rsidR="00000000" w:rsidDel="00000000" w:rsidP="00000000" w:rsidRDefault="00000000" w:rsidRPr="00000000" w14:paraId="0000019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Primary Energy Production:</w:t>
      </w:r>
      <w:r w:rsidDel="00000000" w:rsidR="00000000" w:rsidRPr="00000000">
        <w:rPr>
          <w:rFonts w:ascii="Google Sans" w:cs="Google Sans" w:eastAsia="Google Sans" w:hAnsi="Google Sans"/>
          <w:color w:val="1f1f1f"/>
          <w:rtl w:val="0"/>
        </w:rPr>
        <w:t xml:space="preserve"> 6th largest producer in the world.</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9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Uranium:</w:t>
      </w:r>
      <w:r w:rsidDel="00000000" w:rsidR="00000000" w:rsidRPr="00000000">
        <w:rPr>
          <w:rFonts w:ascii="Google Sans" w:cs="Google Sans" w:eastAsia="Google Sans" w:hAnsi="Google Sans"/>
          <w:color w:val="1f1f1f"/>
          <w:rtl w:val="0"/>
        </w:rPr>
        <w:t xml:space="preserve"> 2nd largest producer and 2nd largest exporter; home to the world's 3rd largest reserves.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9B">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Hydroelectricity:</w:t>
      </w:r>
      <w:r w:rsidDel="00000000" w:rsidR="00000000" w:rsidRPr="00000000">
        <w:rPr>
          <w:rFonts w:ascii="Google Sans" w:cs="Google Sans" w:eastAsia="Google Sans" w:hAnsi="Google Sans"/>
          <w:color w:val="1f1f1f"/>
          <w:rtl w:val="0"/>
        </w:rPr>
        <w:t xml:space="preserve"> 3rd largest producer and world leader in total generation.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9C">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Crude Oil:</w:t>
      </w:r>
      <w:r w:rsidDel="00000000" w:rsidR="00000000" w:rsidRPr="00000000">
        <w:rPr>
          <w:rFonts w:ascii="Google Sans" w:cs="Google Sans" w:eastAsia="Google Sans" w:hAnsi="Google Sans"/>
          <w:color w:val="1f1f1f"/>
          <w:rtl w:val="0"/>
        </w:rPr>
        <w:t xml:space="preserve"> 4th largest producer and 3rd largest exporter; home to the world's 4th largest reserves.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9D">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Natural Gas:</w:t>
      </w:r>
      <w:r w:rsidDel="00000000" w:rsidR="00000000" w:rsidRPr="00000000">
        <w:rPr>
          <w:rFonts w:ascii="Google Sans" w:cs="Google Sans" w:eastAsia="Google Sans" w:hAnsi="Google Sans"/>
          <w:color w:val="1f1f1f"/>
          <w:rtl w:val="0"/>
        </w:rPr>
        <w:t xml:space="preserve"> 5th largest producer and 6th largest exporter.</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9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Nuclear Power:</w:t>
      </w:r>
      <w:r w:rsidDel="00000000" w:rsidR="00000000" w:rsidRPr="00000000">
        <w:rPr>
          <w:rFonts w:ascii="Google Sans" w:cs="Google Sans" w:eastAsia="Google Sans" w:hAnsi="Google Sans"/>
          <w:color w:val="1f1f1f"/>
          <w:rtl w:val="0"/>
        </w:rPr>
        <w:t xml:space="preserve"> 6th largest producer, accounting for 3% of global generation.</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9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and Infrastructure Factoids</w:t>
      </w:r>
    </w:p>
    <w:p w:rsidR="00000000" w:rsidDel="00000000" w:rsidP="00000000" w:rsidRDefault="00000000" w:rsidRPr="00000000" w14:paraId="000001A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Employment:</w:t>
      </w:r>
      <w:r w:rsidDel="00000000" w:rsidR="00000000" w:rsidRPr="00000000">
        <w:rPr>
          <w:rFonts w:ascii="Google Sans" w:cs="Google Sans" w:eastAsia="Google Sans" w:hAnsi="Google Sans"/>
          <w:color w:val="1f1f1f"/>
          <w:rtl w:val="0"/>
        </w:rPr>
        <w:t xml:space="preserve"> The energy sector directly employs 697,000 Canadians across every province and territory.</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1A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Infrastructure Value:</w:t>
      </w:r>
      <w:r w:rsidDel="00000000" w:rsidR="00000000" w:rsidRPr="00000000">
        <w:rPr>
          <w:rFonts w:ascii="Google Sans" w:cs="Google Sans" w:eastAsia="Google Sans" w:hAnsi="Google Sans"/>
          <w:color w:val="1f1f1f"/>
          <w:rtl w:val="0"/>
        </w:rPr>
        <w:t xml:space="preserve"> Fuel, energy, and pipeline infrastructure make up 30% of Canada’s total net stock of infrastructure.</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A2">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Investment:</w:t>
      </w:r>
      <w:r w:rsidDel="00000000" w:rsidR="00000000" w:rsidRPr="00000000">
        <w:rPr>
          <w:rFonts w:ascii="Google Sans" w:cs="Google Sans" w:eastAsia="Google Sans" w:hAnsi="Google Sans"/>
          <w:color w:val="1f1f1f"/>
          <w:rtl w:val="0"/>
        </w:rPr>
        <w:t xml:space="preserve"> In 2024 alone, capital expenditures in the energy sector totaled $89 billion.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A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Project Pipeline:</w:t>
      </w:r>
      <w:r w:rsidDel="00000000" w:rsidR="00000000" w:rsidRPr="00000000">
        <w:rPr>
          <w:rFonts w:ascii="Google Sans" w:cs="Google Sans" w:eastAsia="Google Sans" w:hAnsi="Google Sans"/>
          <w:color w:val="1f1f1f"/>
          <w:rtl w:val="0"/>
        </w:rPr>
        <w:t xml:space="preserve"> There are currently over 230 planned energy projects in Canada worth an estimated $351 billion.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A4">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Clean Technology:</w:t>
      </w:r>
      <w:r w:rsidDel="00000000" w:rsidR="00000000" w:rsidRPr="00000000">
        <w:rPr>
          <w:rFonts w:ascii="Google Sans" w:cs="Google Sans" w:eastAsia="Google Sans" w:hAnsi="Google Sans"/>
          <w:color w:val="1f1f1f"/>
          <w:rtl w:val="0"/>
        </w:rPr>
        <w:t xml:space="preserve"> 215 clean technology projects valued at $194 billion are currently announced or under construction.</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1A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Energy Intensity:</w:t>
      </w:r>
      <w:r w:rsidDel="00000000" w:rsidR="00000000" w:rsidRPr="00000000">
        <w:rPr>
          <w:rFonts w:ascii="Google Sans" w:cs="Google Sans" w:eastAsia="Google Sans" w:hAnsi="Google Sans"/>
          <w:color w:val="1f1f1f"/>
          <w:rtl w:val="0"/>
        </w:rPr>
        <w:t xml:space="preserve"> Canada’s energy use per dollar of GDP falls by 1.1% annually, indicating the economy is becoming more efficient.</w:t>
      </w:r>
      <w:r w:rsidDel="00000000" w:rsidR="00000000" w:rsidRPr="00000000">
        <w:rPr>
          <w:rFonts w:ascii="Google Sans" w:cs="Google Sans" w:eastAsia="Google Sans" w:hAnsi="Google Sans"/>
          <w:color w:val="444746"/>
          <w:sz w:val="24"/>
          <w:szCs w:val="24"/>
          <w:vertAlign w:val="superscript"/>
          <w:rtl w:val="0"/>
        </w:rPr>
        <w:t xml:space="preserve">46</w:t>
      </w:r>
    </w:p>
    <w:p w:rsidR="00000000" w:rsidDel="00000000" w:rsidP="00000000" w:rsidRDefault="00000000" w:rsidRPr="00000000" w14:paraId="000001A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EV Adoption:</w:t>
      </w:r>
      <w:r w:rsidDel="00000000" w:rsidR="00000000" w:rsidRPr="00000000">
        <w:rPr>
          <w:rFonts w:ascii="Google Sans" w:cs="Google Sans" w:eastAsia="Google Sans" w:hAnsi="Google Sans"/>
          <w:color w:val="1f1f1f"/>
          <w:rtl w:val="0"/>
        </w:rPr>
        <w:t xml:space="preserve"> Over 271,000 plug-in electric vehicles were registered in 2024, a 14-fold increase in just seven years.</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1A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 and Strategic Outlook</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disparate data layers—geological, infrastructural, economic, and environmental—reveals a country in the midst of a profound structural pivot. The traditional role of Canada as a "resource hinterland" for the United States is being augmented by a new role as a global exporter of low-carbon energy and high-value commodities. The geospatial data confirms that while the physical assets (the "geoms") of the 20th century remain foundational, they are increasingly being repurposed. Pipelines that once moved only crude oil are being utilized for NGLs and refined products to support new manufacturing, while the electrical grid is being reinforced to accommodate the massive influx of wind and solar capacity.</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public-facing component of this project, the narrative should emphasize that energy is not merely a commodity extracted and sold, but a complex, interconnected system that supports every facet of modern life. By visualizing the "hidden" architecture of the country—the centerlines of pipelines following river valleys, the high-voltage interties crossing invisible borders, and the deep geological basins that hold the potential for both energy production and carbon sequestration—we can foster a more nuanced and informed dialogue about Canada’s energy future. The data provides a clear roadmap: the future of Canadian energy is one of increasing diversification, regional integration, and technological innovation.</w:t>
      </w:r>
    </w:p>
    <w:p w:rsidR="00000000" w:rsidDel="00000000" w:rsidP="00000000" w:rsidRDefault="00000000" w:rsidRPr="00000000" w14:paraId="000001A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Atlas of the Western Canada Sedimentary Basin - Alberta Geological Survey, accessed April 30, 2026, </w:t>
      </w:r>
      <w:hyperlink r:id="rId15">
        <w:r w:rsidDel="00000000" w:rsidR="00000000" w:rsidRPr="00000000">
          <w:rPr>
            <w:rFonts w:ascii="Google Sans" w:cs="Google Sans" w:eastAsia="Google Sans" w:hAnsi="Google Sans"/>
            <w:color w:val="0000ee"/>
            <w:sz w:val="24"/>
            <w:szCs w:val="24"/>
            <w:u w:val="single"/>
            <w:rtl w:val="0"/>
          </w:rPr>
          <w:t xml:space="preserve">https://ags.aer.ca/publications/atlas-western-canada-sedimentary-basin</w:t>
        </w:r>
      </w:hyperlink>
      <w:r w:rsidDel="00000000" w:rsidR="00000000" w:rsidRPr="00000000">
        <w:rPr>
          <w:rtl w:val="0"/>
        </w:rPr>
      </w:r>
    </w:p>
    <w:p w:rsidR="00000000" w:rsidDel="00000000" w:rsidP="00000000" w:rsidRDefault="00000000" w:rsidRPr="00000000" w14:paraId="000001A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dataset - Open Government program, accessed April 30, 2026, </w:t>
      </w:r>
      <w:hyperlink r:id="rId16">
        <w:r w:rsidDel="00000000" w:rsidR="00000000" w:rsidRPr="00000000">
          <w:rPr>
            <w:rFonts w:ascii="Google Sans" w:cs="Google Sans" w:eastAsia="Google Sans" w:hAnsi="Google Sans"/>
            <w:color w:val="0000ee"/>
            <w:sz w:val="24"/>
            <w:szCs w:val="24"/>
            <w:u w:val="single"/>
            <w:rtl w:val="0"/>
          </w:rPr>
          <w:t xml:space="preserve">https://open.alberta.ca/dataset/?tags=WESTERN-CANADA-SEDIMENTARY-BASIN&amp;tags=72L&amp;tags=WESTERN-CANADA-SEDIMENTARY-BASIN</w:t>
        </w:r>
      </w:hyperlink>
      <w:r w:rsidDel="00000000" w:rsidR="00000000" w:rsidRPr="00000000">
        <w:rPr>
          <w:rtl w:val="0"/>
        </w:rPr>
      </w:r>
    </w:p>
    <w:p w:rsidR="00000000" w:rsidDel="00000000" w:rsidP="00000000" w:rsidRDefault="00000000" w:rsidRPr="00000000" w14:paraId="000001A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Structural Elements of the WCSB (GIS data, line features) - Open Government program, accessed April 30, 2026, </w:t>
      </w:r>
      <w:hyperlink r:id="rId17">
        <w:r w:rsidDel="00000000" w:rsidR="00000000" w:rsidRPr="00000000">
          <w:rPr>
            <w:rFonts w:ascii="Google Sans" w:cs="Google Sans" w:eastAsia="Google Sans" w:hAnsi="Google Sans"/>
            <w:color w:val="0000ee"/>
            <w:sz w:val="24"/>
            <w:szCs w:val="24"/>
            <w:u w:val="single"/>
            <w:rtl w:val="0"/>
          </w:rPr>
          <w:t xml:space="preserve">https://open.alberta.ca/opendata/gda-dig_2008_0001</w:t>
        </w:r>
      </w:hyperlink>
      <w:r w:rsidDel="00000000" w:rsidR="00000000" w:rsidRPr="00000000">
        <w:rPr>
          <w:rtl w:val="0"/>
        </w:rPr>
      </w:r>
    </w:p>
    <w:p w:rsidR="00000000" w:rsidDel="00000000" w:rsidP="00000000" w:rsidRDefault="00000000" w:rsidRPr="00000000" w14:paraId="000001A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Coalfields of the Western Canada Sedimentary Basin - Alberta - Data Basin, accessed April 30, 2026, </w:t>
      </w:r>
      <w:hyperlink r:id="rId18">
        <w:r w:rsidDel="00000000" w:rsidR="00000000" w:rsidRPr="00000000">
          <w:rPr>
            <w:rFonts w:ascii="Google Sans" w:cs="Google Sans" w:eastAsia="Google Sans" w:hAnsi="Google Sans"/>
            <w:color w:val="0000ee"/>
            <w:sz w:val="24"/>
            <w:szCs w:val="24"/>
            <w:u w:val="single"/>
            <w:rtl w:val="0"/>
          </w:rPr>
          <w:t xml:space="preserve">https://databasin.org/datasets/df28fcde11774fea94d930819126704e/</w:t>
        </w:r>
      </w:hyperlink>
      <w:r w:rsidDel="00000000" w:rsidR="00000000" w:rsidRPr="00000000">
        <w:rPr>
          <w:rtl w:val="0"/>
        </w:rPr>
      </w:r>
    </w:p>
    <w:p w:rsidR="00000000" w:rsidDel="00000000" w:rsidP="00000000" w:rsidRDefault="00000000" w:rsidRPr="00000000" w14:paraId="000001A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Preliminary Catalog of the Sedimentary Basins of the United States, accessed April 30, 2026, </w:t>
      </w:r>
      <w:hyperlink r:id="rId19">
        <w:r w:rsidDel="00000000" w:rsidR="00000000" w:rsidRPr="00000000">
          <w:rPr>
            <w:rFonts w:ascii="Google Sans" w:cs="Google Sans" w:eastAsia="Google Sans" w:hAnsi="Google Sans"/>
            <w:color w:val="0000ee"/>
            <w:sz w:val="24"/>
            <w:szCs w:val="24"/>
            <w:u w:val="single"/>
            <w:rtl w:val="0"/>
          </w:rPr>
          <w:t xml:space="preserve">https://pubs.usgs.gov/of/2012/1111/Sedimentary_Basins_of_the_United_States.html</w:t>
        </w:r>
      </w:hyperlink>
      <w:r w:rsidDel="00000000" w:rsidR="00000000" w:rsidRPr="00000000">
        <w:rPr>
          <w:rtl w:val="0"/>
        </w:rPr>
      </w:r>
    </w:p>
    <w:p w:rsidR="00000000" w:rsidDel="00000000" w:rsidP="00000000" w:rsidRDefault="00000000" w:rsidRPr="00000000" w14:paraId="000001B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Spatial Data - Alberta Energy Regulator, accessed April 30, 2026, </w:t>
      </w:r>
      <w:hyperlink r:id="rId20">
        <w:r w:rsidDel="00000000" w:rsidR="00000000" w:rsidRPr="00000000">
          <w:rPr>
            <w:rFonts w:ascii="Google Sans" w:cs="Google Sans" w:eastAsia="Google Sans" w:hAnsi="Google Sans"/>
            <w:color w:val="0000ee"/>
            <w:sz w:val="24"/>
            <w:szCs w:val="24"/>
            <w:u w:val="single"/>
            <w:rtl w:val="0"/>
          </w:rPr>
          <w:t xml:space="preserve">https://www.aer.ca/data-and-performance-reports/activity-and-data/spatial-data</w:t>
        </w:r>
      </w:hyperlink>
      <w:r w:rsidDel="00000000" w:rsidR="00000000" w:rsidRPr="00000000">
        <w:rPr>
          <w:rtl w:val="0"/>
        </w:rPr>
      </w:r>
    </w:p>
    <w:p w:rsidR="00000000" w:rsidDel="00000000" w:rsidP="00000000" w:rsidRDefault="00000000" w:rsidRPr="00000000" w14:paraId="000001B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Projects and Sites | Shell Canada, accessed April 30, 2026, </w:t>
      </w:r>
      <w:hyperlink r:id="rId21">
        <w:r w:rsidDel="00000000" w:rsidR="00000000" w:rsidRPr="00000000">
          <w:rPr>
            <w:rFonts w:ascii="Google Sans" w:cs="Google Sans" w:eastAsia="Google Sans" w:hAnsi="Google Sans"/>
            <w:color w:val="0000ee"/>
            <w:sz w:val="24"/>
            <w:szCs w:val="24"/>
            <w:u w:val="single"/>
            <w:rtl w:val="0"/>
          </w:rPr>
          <w:t xml:space="preserve">https://www.shell.ca/en_ca/about-us/projects-and-sites.html</w:t>
        </w:r>
      </w:hyperlink>
      <w:r w:rsidDel="00000000" w:rsidR="00000000" w:rsidRPr="00000000">
        <w:rPr>
          <w:rtl w:val="0"/>
        </w:rPr>
      </w:r>
    </w:p>
    <w:p w:rsidR="00000000" w:rsidDel="00000000" w:rsidP="00000000" w:rsidRDefault="00000000" w:rsidRPr="00000000" w14:paraId="000001B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Maps: Oil and Gas Exploration, Resources, and Production - U.S. ..., accessed April 30, 2026, </w:t>
      </w:r>
      <w:hyperlink r:id="rId22">
        <w:r w:rsidDel="00000000" w:rsidR="00000000" w:rsidRPr="00000000">
          <w:rPr>
            <w:rFonts w:ascii="Google Sans" w:cs="Google Sans" w:eastAsia="Google Sans" w:hAnsi="Google Sans"/>
            <w:color w:val="0000ee"/>
            <w:sz w:val="24"/>
            <w:szCs w:val="24"/>
            <w:u w:val="single"/>
            <w:rtl w:val="0"/>
          </w:rPr>
          <w:t xml:space="preserve">https://www.eia.gov/maps/maps.php</w:t>
        </w:r>
      </w:hyperlink>
      <w:r w:rsidDel="00000000" w:rsidR="00000000" w:rsidRPr="00000000">
        <w:rPr>
          <w:rtl w:val="0"/>
        </w:rPr>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Pipelines - Open Government Portal, accessed April 30, 2026, </w:t>
      </w:r>
      <w:hyperlink r:id="rId23">
        <w:r w:rsidDel="00000000" w:rsidR="00000000" w:rsidRPr="00000000">
          <w:rPr>
            <w:rFonts w:ascii="Google Sans" w:cs="Google Sans" w:eastAsia="Google Sans" w:hAnsi="Google Sans"/>
            <w:color w:val="0000ee"/>
            <w:sz w:val="24"/>
            <w:szCs w:val="24"/>
            <w:u w:val="single"/>
            <w:rtl w:val="0"/>
          </w:rPr>
          <w:t xml:space="preserve">https://open.canada.ca/data/en/dataset/4188dacc-07c5-f72c-cfb1-cd505fcd4eb4</w:t>
        </w:r>
      </w:hyperlink>
      <w:r w:rsidDel="00000000" w:rsidR="00000000" w:rsidRPr="00000000">
        <w:rPr>
          <w:rtl w:val="0"/>
        </w:rPr>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 – Interactive Pipeline Map - Canada Energy Regulator, accessed April 30, 2026, </w:t>
      </w:r>
      <w:hyperlink r:id="rId24">
        <w:r w:rsidDel="00000000" w:rsidR="00000000" w:rsidRPr="00000000">
          <w:rPr>
            <w:rFonts w:ascii="Google Sans" w:cs="Google Sans" w:eastAsia="Google Sans" w:hAnsi="Google Sans"/>
            <w:color w:val="0000ee"/>
            <w:sz w:val="24"/>
            <w:szCs w:val="24"/>
            <w:u w:val="single"/>
            <w:rtl w:val="0"/>
          </w:rPr>
          <w:t xml:space="preserve">https://www.cer-rec.gc.ca/en/safety-environment/industry-performance/interactive-pipeline/</w:t>
        </w:r>
      </w:hyperlink>
      <w:r w:rsidDel="00000000" w:rsidR="00000000" w:rsidRPr="00000000">
        <w:rPr>
          <w:rtl w:val="0"/>
        </w:rPr>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NACEI/energy_infrastructure_of_north_america_en (MapServer), accessed April 30, 2026, </w:t>
      </w:r>
      <w:hyperlink r:id="rId25">
        <w:r w:rsidDel="00000000" w:rsidR="00000000" w:rsidRPr="00000000">
          <w:rPr>
            <w:rFonts w:ascii="Google Sans" w:cs="Google Sans" w:eastAsia="Google Sans" w:hAnsi="Google Sans"/>
            <w:color w:val="0000ee"/>
            <w:sz w:val="24"/>
            <w:szCs w:val="24"/>
            <w:u w:val="single"/>
            <w:rtl w:val="0"/>
          </w:rPr>
          <w:t xml:space="preserve">https://geoappext.nrcan.gc.ca/arcgis/rest/services/NACEI/energy_infrastructure_of_north_america_en/MapServer</w:t>
        </w:r>
      </w:hyperlink>
      <w:r w:rsidDel="00000000" w:rsidR="00000000" w:rsidRPr="00000000">
        <w:rPr>
          <w:rtl w:val="0"/>
        </w:rPr>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American Cooperation on Energy Information, Mapping Data - Open Government Portal, accessed April 30, 2026, </w:t>
      </w:r>
      <w:hyperlink r:id="rId26">
        <w:r w:rsidDel="00000000" w:rsidR="00000000" w:rsidRPr="00000000">
          <w:rPr>
            <w:rFonts w:ascii="Google Sans" w:cs="Google Sans" w:eastAsia="Google Sans" w:hAnsi="Google Sans"/>
            <w:color w:val="0000ee"/>
            <w:sz w:val="24"/>
            <w:szCs w:val="24"/>
            <w:u w:val="single"/>
            <w:rtl w:val="0"/>
          </w:rPr>
          <w:t xml:space="preserve">https://open.canada.ca/data/en/dataset/aae6619f-f9f3-435d-bc32-42decd58b674</w:t>
        </w:r>
      </w:hyperlink>
      <w:r w:rsidDel="00000000" w:rsidR="00000000" w:rsidRPr="00000000">
        <w:rPr>
          <w:rtl w:val="0"/>
        </w:rPr>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American Cooperation on Energy Information (NACEI), accessed April 30, 2026, </w:t>
      </w:r>
      <w:hyperlink r:id="rId27">
        <w:r w:rsidDel="00000000" w:rsidR="00000000" w:rsidRPr="00000000">
          <w:rPr>
            <w:rFonts w:ascii="Google Sans" w:cs="Google Sans" w:eastAsia="Google Sans" w:hAnsi="Google Sans"/>
            <w:color w:val="0000ee"/>
            <w:sz w:val="24"/>
            <w:szCs w:val="24"/>
            <w:u w:val="single"/>
            <w:rtl w:val="0"/>
          </w:rPr>
          <w:t xml:space="preserve">https://www.eia.gov/trilateral/#!/maps</w:t>
        </w:r>
      </w:hyperlink>
      <w:r w:rsidDel="00000000" w:rsidR="00000000" w:rsidRPr="00000000">
        <w:rPr>
          <w:rtl w:val="0"/>
        </w:rPr>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 – Market Snapshot: Canada's oil pipeline capacity in 2024 - Canada Energy Regulator, accessed April 30, 2026, </w:t>
      </w:r>
      <w:hyperlink r:id="rId28">
        <w:r w:rsidDel="00000000" w:rsidR="00000000" w:rsidRPr="00000000">
          <w:rPr>
            <w:rFonts w:ascii="Google Sans" w:cs="Google Sans" w:eastAsia="Google Sans" w:hAnsi="Google Sans"/>
            <w:color w:val="0000ee"/>
            <w:sz w:val="24"/>
            <w:szCs w:val="24"/>
            <w:u w:val="single"/>
            <w:rtl w:val="0"/>
          </w:rPr>
          <w:t xml:space="preserve">https://www.cer-rec.gc.ca/en/data-analysis/energy-markets/market-snapshots/2024/market-snapshot-canadas-oil-pipeline-capacity-2024.html</w:t>
        </w:r>
      </w:hyperlink>
      <w:r w:rsidDel="00000000" w:rsidR="00000000" w:rsidRPr="00000000">
        <w:rPr>
          <w:rtl w:val="0"/>
        </w:rPr>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Oil and Gas Export Infrastructure | CAPP, accessed April 30, 2026, </w:t>
      </w:r>
      <w:hyperlink r:id="rId29">
        <w:r w:rsidDel="00000000" w:rsidR="00000000" w:rsidRPr="00000000">
          <w:rPr>
            <w:rFonts w:ascii="Google Sans" w:cs="Google Sans" w:eastAsia="Google Sans" w:hAnsi="Google Sans"/>
            <w:color w:val="0000ee"/>
            <w:sz w:val="24"/>
            <w:szCs w:val="24"/>
            <w:u w:val="single"/>
            <w:rtl w:val="0"/>
          </w:rPr>
          <w:t xml:space="preserve">https://www.capp.ca/wp-content/uploads/2026/02/Canadian-Oil-and-Gas-Export-Infrastructure-February-18-2026.pdf</w:t>
        </w:r>
      </w:hyperlink>
      <w:r w:rsidDel="00000000" w:rsidR="00000000" w:rsidRPr="00000000">
        <w:rPr>
          <w:rtl w:val="0"/>
        </w:rPr>
      </w:r>
    </w:p>
    <w:p w:rsidR="00000000" w:rsidDel="00000000" w:rsidP="00000000" w:rsidRDefault="00000000" w:rsidRPr="00000000" w14:paraId="000001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 - Crude oil and liquids – pipeline flow and capacity - Canada Energy Regulator, accessed April 30, 2026, </w:t>
      </w:r>
      <w:hyperlink r:id="rId30">
        <w:r w:rsidDel="00000000" w:rsidR="00000000" w:rsidRPr="00000000">
          <w:rPr>
            <w:rFonts w:ascii="Google Sans" w:cs="Google Sans" w:eastAsia="Google Sans" w:hAnsi="Google Sans"/>
            <w:color w:val="0000ee"/>
            <w:sz w:val="24"/>
            <w:szCs w:val="24"/>
            <w:u w:val="single"/>
            <w:rtl w:val="0"/>
          </w:rPr>
          <w:t xml:space="preserve">https://www.cer-rec.gc.ca/en/data-analysis/facilities-we-regulate/look-pipeline-flow-capacity/crude-oil-liquids-pipeline-flow-capacity.html</w:t>
        </w:r>
      </w:hyperlink>
      <w:r w:rsidDel="00000000" w:rsidR="00000000" w:rsidRPr="00000000">
        <w:rPr>
          <w:rtl w:val="0"/>
        </w:rPr>
      </w:r>
    </w:p>
    <w:p w:rsidR="00000000" w:rsidDel="00000000" w:rsidP="00000000" w:rsidRDefault="00000000" w:rsidRPr="00000000" w14:paraId="000001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CER – Market Snapshot: Record high annual oil pipeline throughputs again in 2023, accessed April 30, 2026, </w:t>
      </w:r>
      <w:hyperlink r:id="rId31">
        <w:r w:rsidDel="00000000" w:rsidR="00000000" w:rsidRPr="00000000">
          <w:rPr>
            <w:rFonts w:ascii="Google Sans" w:cs="Google Sans" w:eastAsia="Google Sans" w:hAnsi="Google Sans"/>
            <w:color w:val="0000ee"/>
            <w:sz w:val="24"/>
            <w:szCs w:val="24"/>
            <w:u w:val="single"/>
            <w:rtl w:val="0"/>
          </w:rPr>
          <w:t xml:space="preserve">https://www.rec-cer.gc.ca/en/data-analysis/energy-markets/market-snapshots/2024/market-snapshot-record-high-annual-oil-pipeline-throughputs-again-in-2023.html?=undefined&amp;wbdisable=false</w:t>
        </w:r>
      </w:hyperlink>
      <w:r w:rsidDel="00000000" w:rsidR="00000000" w:rsidRPr="00000000">
        <w:rPr>
          <w:rtl w:val="0"/>
        </w:rPr>
      </w:r>
    </w:p>
    <w:p w:rsidR="00000000" w:rsidDel="00000000" w:rsidP="00000000" w:rsidRDefault="00000000" w:rsidRPr="00000000" w14:paraId="000001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 International - U.S. Energy Information Administration (EIA), accessed April 30, 2026, </w:t>
      </w:r>
      <w:hyperlink r:id="rId32">
        <w:r w:rsidDel="00000000" w:rsidR="00000000" w:rsidRPr="00000000">
          <w:rPr>
            <w:rFonts w:ascii="Google Sans" w:cs="Google Sans" w:eastAsia="Google Sans" w:hAnsi="Google Sans"/>
            <w:color w:val="0000ee"/>
            <w:sz w:val="24"/>
            <w:szCs w:val="24"/>
            <w:u w:val="single"/>
            <w:rtl w:val="0"/>
          </w:rPr>
          <w:t xml:space="preserve">https://www.eia.gov/international/analysis/country/can</w:t>
        </w:r>
      </w:hyperlink>
      <w:r w:rsidDel="00000000" w:rsidR="00000000" w:rsidRPr="00000000">
        <w:rPr>
          <w:rtl w:val="0"/>
        </w:rPr>
      </w:r>
    </w:p>
    <w:p w:rsidR="00000000" w:rsidDel="00000000" w:rsidP="00000000" w:rsidRDefault="00000000" w:rsidRPr="00000000" w14:paraId="000001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Keystone Pipeline - Wikipedia, accessed April 30, 2026, </w:t>
      </w:r>
      <w:hyperlink r:id="rId33">
        <w:r w:rsidDel="00000000" w:rsidR="00000000" w:rsidRPr="00000000">
          <w:rPr>
            <w:rFonts w:ascii="Google Sans" w:cs="Google Sans" w:eastAsia="Google Sans" w:hAnsi="Google Sans"/>
            <w:color w:val="0000ee"/>
            <w:sz w:val="24"/>
            <w:szCs w:val="24"/>
            <w:u w:val="single"/>
            <w:rtl w:val="0"/>
          </w:rPr>
          <w:t xml:space="preserve">https://en.wikipedia.org/wiki/Keystone_Pipeline</w:t>
        </w:r>
      </w:hyperlink>
      <w:r w:rsidDel="00000000" w:rsidR="00000000" w:rsidRPr="00000000">
        <w:rPr>
          <w:rtl w:val="0"/>
        </w:rPr>
      </w:r>
    </w:p>
    <w:p w:rsidR="00000000" w:rsidDel="00000000" w:rsidP="00000000" w:rsidRDefault="00000000" w:rsidRPr="00000000" w14:paraId="000001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Refinery Overview - à www.publications.gc.ca, accessed April 30, 2026, </w:t>
      </w:r>
      <w:hyperlink r:id="rId34">
        <w:r w:rsidDel="00000000" w:rsidR="00000000" w:rsidRPr="00000000">
          <w:rPr>
            <w:rFonts w:ascii="Google Sans" w:cs="Google Sans" w:eastAsia="Google Sans" w:hAnsi="Google Sans"/>
            <w:color w:val="0000ee"/>
            <w:sz w:val="24"/>
            <w:szCs w:val="24"/>
            <w:u w:val="single"/>
            <w:rtl w:val="0"/>
          </w:rPr>
          <w:t xml:space="preserve">https://publications.gc.ca/collections/collection_2018/one-neb/NE23-193-2018-eng.pdf</w:t>
        </w:r>
      </w:hyperlink>
      <w:r w:rsidDel="00000000" w:rsidR="00000000" w:rsidRPr="00000000">
        <w:rPr>
          <w:rtl w:val="0"/>
        </w:rPr>
      </w:r>
    </w:p>
    <w:p w:rsidR="00000000" w:rsidDel="00000000" w:rsidP="00000000" w:rsidRDefault="00000000" w:rsidRPr="00000000" w14:paraId="000001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Pipeline Throughput and Capacity Data - Open Government Portal - Canada.ca, accessed April 30, 2026, </w:t>
      </w:r>
      <w:hyperlink r:id="rId35">
        <w:r w:rsidDel="00000000" w:rsidR="00000000" w:rsidRPr="00000000">
          <w:rPr>
            <w:rFonts w:ascii="Google Sans" w:cs="Google Sans" w:eastAsia="Google Sans" w:hAnsi="Google Sans"/>
            <w:color w:val="0000ee"/>
            <w:sz w:val="24"/>
            <w:szCs w:val="24"/>
            <w:u w:val="single"/>
            <w:rtl w:val="0"/>
          </w:rPr>
          <w:t xml:space="preserve">https://open.canada.ca/data/en/dataset/dc343c43-a592-4a27-8ee7-c77df56afb34</w:t>
        </w:r>
      </w:hyperlink>
      <w:r w:rsidDel="00000000" w:rsidR="00000000" w:rsidRPr="00000000">
        <w:rPr>
          <w:rtl w:val="0"/>
        </w:rPr>
      </w:r>
    </w:p>
    <w:p w:rsidR="00000000" w:rsidDel="00000000" w:rsidP="00000000" w:rsidRDefault="00000000" w:rsidRPr="00000000" w14:paraId="000001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Snapshot: Canadian crude refinery runs held steady in 2025 - CER, accessed April 30, 2026, </w:t>
      </w:r>
      <w:hyperlink r:id="rId36">
        <w:r w:rsidDel="00000000" w:rsidR="00000000" w:rsidRPr="00000000">
          <w:rPr>
            <w:rFonts w:ascii="Google Sans" w:cs="Google Sans" w:eastAsia="Google Sans" w:hAnsi="Google Sans"/>
            <w:color w:val="0000ee"/>
            <w:sz w:val="24"/>
            <w:szCs w:val="24"/>
            <w:u w:val="single"/>
            <w:rtl w:val="0"/>
          </w:rPr>
          <w:t xml:space="preserve">https://www.cer-rec.gc.ca/en/data-analysis/energy-markets/market-snapshots/2026/market-snapshot-canadian-crude-refinery-runs-held-steady-in-2025.html</w:t>
        </w:r>
      </w:hyperlink>
      <w:r w:rsidDel="00000000" w:rsidR="00000000" w:rsidRPr="00000000">
        <w:rPr>
          <w:rtl w:val="0"/>
        </w:rPr>
      </w:r>
    </w:p>
    <w:p w:rsidR="00000000" w:rsidDel="00000000" w:rsidP="00000000" w:rsidRDefault="00000000" w:rsidRPr="00000000" w14:paraId="000001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Snapshots - CER, accessed April 30, 2026, </w:t>
      </w:r>
      <w:hyperlink r:id="rId37">
        <w:r w:rsidDel="00000000" w:rsidR="00000000" w:rsidRPr="00000000">
          <w:rPr>
            <w:rFonts w:ascii="Google Sans" w:cs="Google Sans" w:eastAsia="Google Sans" w:hAnsi="Google Sans"/>
            <w:color w:val="0000ee"/>
            <w:sz w:val="24"/>
            <w:szCs w:val="24"/>
            <w:u w:val="single"/>
            <w:rtl w:val="0"/>
          </w:rPr>
          <w:t xml:space="preserve">https://www.cer-rec.gc.ca/en/data-analysis/energy-markets/market-snapshots/index.html</w:t>
        </w:r>
      </w:hyperlink>
      <w:r w:rsidDel="00000000" w:rsidR="00000000" w:rsidRPr="00000000">
        <w:rPr>
          <w:rtl w:val="0"/>
        </w:rPr>
      </w:r>
    </w:p>
    <w:p w:rsidR="00000000" w:rsidDel="00000000" w:rsidP="00000000" w:rsidRDefault="00000000" w:rsidRPr="00000000" w14:paraId="000001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Canadian Refining Industry | CAPP, accessed April 30, 2026, </w:t>
      </w:r>
      <w:hyperlink r:id="rId38">
        <w:r w:rsidDel="00000000" w:rsidR="00000000" w:rsidRPr="00000000">
          <w:rPr>
            <w:rFonts w:ascii="Google Sans" w:cs="Google Sans" w:eastAsia="Google Sans" w:hAnsi="Google Sans"/>
            <w:color w:val="0000ee"/>
            <w:sz w:val="24"/>
            <w:szCs w:val="24"/>
            <w:u w:val="single"/>
            <w:rtl w:val="0"/>
          </w:rPr>
          <w:t xml:space="preserve">https://www.capp.ca/wp-content/uploads/2025/11/Canadian-Refining-Industry-October-17-2025.pdf</w:t>
        </w:r>
      </w:hyperlink>
      <w:r w:rsidDel="00000000" w:rsidR="00000000" w:rsidRPr="00000000">
        <w:rPr>
          <w:rtl w:val="0"/>
        </w:rPr>
      </w:r>
    </w:p>
    <w:p w:rsidR="00000000" w:rsidDel="00000000" w:rsidP="00000000" w:rsidRDefault="00000000" w:rsidRPr="00000000" w14:paraId="000001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Oil Refineries in Canada: Key Insights and Facts - Pocket Option, accessed April 30, 2026, </w:t>
      </w:r>
      <w:hyperlink r:id="rId39">
        <w:r w:rsidDel="00000000" w:rsidR="00000000" w:rsidRPr="00000000">
          <w:rPr>
            <w:rFonts w:ascii="Google Sans" w:cs="Google Sans" w:eastAsia="Google Sans" w:hAnsi="Google Sans"/>
            <w:color w:val="0000ee"/>
            <w:sz w:val="24"/>
            <w:szCs w:val="24"/>
            <w:u w:val="single"/>
            <w:rtl w:val="0"/>
          </w:rPr>
          <w:t xml:space="preserve">https://pocketoption.com/blog/en/knowledge-base/markets/oil-refineries-in-canada/</w:t>
        </w:r>
      </w:hyperlink>
      <w:r w:rsidDel="00000000" w:rsidR="00000000" w:rsidRPr="00000000">
        <w:rPr>
          <w:rtl w:val="0"/>
        </w:rPr>
      </w:r>
    </w:p>
    <w:p w:rsidR="00000000" w:rsidDel="00000000" w:rsidP="00000000" w:rsidRDefault="00000000" w:rsidRPr="00000000" w14:paraId="000001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Hardisty Terminal - Husky Midstream, accessed April 30, 2026, </w:t>
      </w:r>
      <w:hyperlink r:id="rId40">
        <w:r w:rsidDel="00000000" w:rsidR="00000000" w:rsidRPr="00000000">
          <w:rPr>
            <w:rFonts w:ascii="Google Sans" w:cs="Google Sans" w:eastAsia="Google Sans" w:hAnsi="Google Sans"/>
            <w:color w:val="0000ee"/>
            <w:sz w:val="24"/>
            <w:szCs w:val="24"/>
            <w:u w:val="single"/>
            <w:rtl w:val="0"/>
          </w:rPr>
          <w:t xml:space="preserve">https://huskymidstream.com/operations/terminals.asp</w:t>
        </w:r>
      </w:hyperlink>
      <w:r w:rsidDel="00000000" w:rsidR="00000000" w:rsidRPr="00000000">
        <w:rPr>
          <w:rtl w:val="0"/>
        </w:rPr>
      </w:r>
    </w:p>
    <w:p w:rsidR="00000000" w:rsidDel="00000000" w:rsidP="00000000" w:rsidRDefault="00000000" w:rsidRPr="00000000" w14:paraId="000001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American Crude Oil Refinery and Upgrader Capacity - CER, accessed April 30, 2026, </w:t>
      </w:r>
      <w:hyperlink r:id="rId41">
        <w:r w:rsidDel="00000000" w:rsidR="00000000" w:rsidRPr="00000000">
          <w:rPr>
            <w:rFonts w:ascii="Google Sans" w:cs="Google Sans" w:eastAsia="Google Sans" w:hAnsi="Google Sans"/>
            <w:color w:val="0000ee"/>
            <w:sz w:val="24"/>
            <w:szCs w:val="24"/>
            <w:u w:val="single"/>
            <w:rtl w:val="0"/>
          </w:rPr>
          <w:t xml:space="preserve">https://www.cer-rec.gc.ca/en/data-analysis/energy-commodities/crude-oil-petroleum-products/statistics/north-american-crude-oil-refinery/index.html</w:t>
        </w:r>
      </w:hyperlink>
      <w:r w:rsidDel="00000000" w:rsidR="00000000" w:rsidRPr="00000000">
        <w:rPr>
          <w:rtl w:val="0"/>
        </w:rPr>
      </w:r>
    </w:p>
    <w:p w:rsidR="00000000" w:rsidDel="00000000" w:rsidP="00000000" w:rsidRDefault="00000000" w:rsidRPr="00000000" w14:paraId="000001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Hardisty Terminal - Gibson Energy, accessed April 30, 2026, </w:t>
      </w:r>
      <w:hyperlink r:id="rId42">
        <w:r w:rsidDel="00000000" w:rsidR="00000000" w:rsidRPr="00000000">
          <w:rPr>
            <w:rFonts w:ascii="Google Sans" w:cs="Google Sans" w:eastAsia="Google Sans" w:hAnsi="Google Sans"/>
            <w:color w:val="0000ee"/>
            <w:sz w:val="24"/>
            <w:szCs w:val="24"/>
            <w:u w:val="single"/>
            <w:rtl w:val="0"/>
          </w:rPr>
          <w:t xml:space="preserve">https://www.gibsonenergy.com/operations/hardisty-terminal/</w:t>
        </w:r>
      </w:hyperlink>
      <w:r w:rsidDel="00000000" w:rsidR="00000000" w:rsidRPr="00000000">
        <w:rPr>
          <w:rtl w:val="0"/>
        </w:rPr>
      </w:r>
    </w:p>
    <w:p w:rsidR="00000000" w:rsidDel="00000000" w:rsidP="00000000" w:rsidRDefault="00000000" w:rsidRPr="00000000" w14:paraId="000001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NATURAL GAS STORAGE - Canadian Gas Association, accessed April 30, 2026, </w:t>
      </w:r>
      <w:hyperlink r:id="rId43">
        <w:r w:rsidDel="00000000" w:rsidR="00000000" w:rsidRPr="00000000">
          <w:rPr>
            <w:rFonts w:ascii="Google Sans" w:cs="Google Sans" w:eastAsia="Google Sans" w:hAnsi="Google Sans"/>
            <w:color w:val="0000ee"/>
            <w:sz w:val="24"/>
            <w:szCs w:val="24"/>
            <w:u w:val="single"/>
            <w:rtl w:val="0"/>
          </w:rPr>
          <w:t xml:space="preserve">https://www.cga.ca/wp-content/uploads/2016/09/Natural-Gas-Storage-2016.pdf</w:t>
        </w:r>
      </w:hyperlink>
      <w:r w:rsidDel="00000000" w:rsidR="00000000" w:rsidRPr="00000000">
        <w:rPr>
          <w:rtl w:val="0"/>
        </w:rPr>
      </w:r>
    </w:p>
    <w:p w:rsidR="00000000" w:rsidDel="00000000" w:rsidP="00000000" w:rsidRDefault="00000000" w:rsidRPr="00000000" w14:paraId="000001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Snapshot: Where does Canada store natural gas? - CER, accessed April 30, 2026, </w:t>
      </w:r>
      <w:hyperlink r:id="rId44">
        <w:r w:rsidDel="00000000" w:rsidR="00000000" w:rsidRPr="00000000">
          <w:rPr>
            <w:rFonts w:ascii="Google Sans" w:cs="Google Sans" w:eastAsia="Google Sans" w:hAnsi="Google Sans"/>
            <w:color w:val="0000ee"/>
            <w:sz w:val="24"/>
            <w:szCs w:val="24"/>
            <w:u w:val="single"/>
            <w:rtl w:val="0"/>
          </w:rPr>
          <w:t xml:space="preserve">https://www.cer-rec.gc.ca/en/data-analysis/energy-markets/market-snapshots/2018/market-snapshot-where-does-canada-store-natural-gas.html</w:t>
        </w:r>
      </w:hyperlink>
      <w:r w:rsidDel="00000000" w:rsidR="00000000" w:rsidRPr="00000000">
        <w:rPr>
          <w:rtl w:val="0"/>
        </w:rPr>
      </w:r>
    </w:p>
    <w:p w:rsidR="00000000" w:rsidDel="00000000" w:rsidP="00000000" w:rsidRDefault="00000000" w:rsidRPr="00000000" w14:paraId="000001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USD Partners LP to Acquire Hardisty South Terminal Assets | PrivSource, accessed April 30, 2026, </w:t>
      </w:r>
      <w:hyperlink r:id="rId45">
        <w:r w:rsidDel="00000000" w:rsidR="00000000" w:rsidRPr="00000000">
          <w:rPr>
            <w:rFonts w:ascii="Google Sans" w:cs="Google Sans" w:eastAsia="Google Sans" w:hAnsi="Google Sans"/>
            <w:color w:val="0000ee"/>
            <w:sz w:val="24"/>
            <w:szCs w:val="24"/>
            <w:u w:val="single"/>
            <w:rtl w:val="0"/>
          </w:rPr>
          <w:t xml:space="preserve">https://www.privsource.com/acquisitions/deal/usd-partners-lp-to-acquire-hardisty-south-terminal-assets-WNSpp9</w:t>
        </w:r>
      </w:hyperlink>
      <w:r w:rsidDel="00000000" w:rsidR="00000000" w:rsidRPr="00000000">
        <w:rPr>
          <w:rtl w:val="0"/>
        </w:rPr>
      </w:r>
    </w:p>
    <w:p w:rsidR="00000000" w:rsidDel="00000000" w:rsidP="00000000" w:rsidRDefault="00000000" w:rsidRPr="00000000" w14:paraId="000001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Electricity Security Policy – Analysis - IEA, accessed April 30, 2026, </w:t>
      </w:r>
      <w:hyperlink r:id="rId46">
        <w:r w:rsidDel="00000000" w:rsidR="00000000" w:rsidRPr="00000000">
          <w:rPr>
            <w:rFonts w:ascii="Google Sans" w:cs="Google Sans" w:eastAsia="Google Sans" w:hAnsi="Google Sans"/>
            <w:color w:val="0000ee"/>
            <w:sz w:val="24"/>
            <w:szCs w:val="24"/>
            <w:u w:val="single"/>
            <w:rtl w:val="0"/>
          </w:rPr>
          <w:t xml:space="preserve">https://www.iea.org/articles/canada-electricity-security-policy-2</w:t>
        </w:r>
      </w:hyperlink>
      <w:r w:rsidDel="00000000" w:rsidR="00000000" w:rsidRPr="00000000">
        <w:rPr>
          <w:rtl w:val="0"/>
        </w:rPr>
      </w:r>
    </w:p>
    <w:p w:rsidR="00000000" w:rsidDel="00000000" w:rsidP="00000000" w:rsidRDefault="00000000" w:rsidRPr="00000000" w14:paraId="000001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much electricity does Canada export to the United States? - Fun With Data, accessed April 30, 2026, </w:t>
      </w:r>
      <w:hyperlink r:id="rId47">
        <w:r w:rsidDel="00000000" w:rsidR="00000000" w:rsidRPr="00000000">
          <w:rPr>
            <w:rFonts w:ascii="Google Sans" w:cs="Google Sans" w:eastAsia="Google Sans" w:hAnsi="Google Sans"/>
            <w:color w:val="0000ee"/>
            <w:sz w:val="24"/>
            <w:szCs w:val="24"/>
            <w:u w:val="single"/>
            <w:rtl w:val="0"/>
          </w:rPr>
          <w:t xml:space="preserve">https://www.funwithdata.ca/canada-facts/economy/how-much-electricity-does-canada-sell-to-the-united-states</w:t>
        </w:r>
      </w:hyperlink>
      <w:r w:rsidDel="00000000" w:rsidR="00000000" w:rsidRPr="00000000">
        <w:rPr>
          <w:rtl w:val="0"/>
        </w:rPr>
      </w:r>
    </w:p>
    <w:p w:rsidR="00000000" w:rsidDel="00000000" w:rsidP="00000000" w:rsidRDefault="00000000" w:rsidRPr="00000000" w14:paraId="000001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Snapshot: Electricity Trade — who regulates what in Canada? - CER, accessed April 30, 2026, </w:t>
      </w:r>
      <w:hyperlink r:id="rId48">
        <w:r w:rsidDel="00000000" w:rsidR="00000000" w:rsidRPr="00000000">
          <w:rPr>
            <w:rFonts w:ascii="Google Sans" w:cs="Google Sans" w:eastAsia="Google Sans" w:hAnsi="Google Sans"/>
            <w:color w:val="0000ee"/>
            <w:sz w:val="24"/>
            <w:szCs w:val="24"/>
            <w:u w:val="single"/>
            <w:rtl w:val="0"/>
          </w:rPr>
          <w:t xml:space="preserve">https://www.cer-rec.gc.ca/en/data-analysis/energy-markets/market-snapshots/2025/market-snapshot-electricity-trade-who-regulates-what-in-canada.html?utm_source=facebook&amp;utm_content=ed5d06b3-5ba8-40f1-a322-c35b9a6e25e7&amp;wbdisable=true</w:t>
        </w:r>
      </w:hyperlink>
      <w:r w:rsidDel="00000000" w:rsidR="00000000" w:rsidRPr="00000000">
        <w:rPr>
          <w:rtl w:val="0"/>
        </w:rPr>
      </w:r>
    </w:p>
    <w:p w:rsidR="00000000" w:rsidDel="00000000" w:rsidP="00000000" w:rsidRDefault="00000000" w:rsidRPr="00000000" w14:paraId="000001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Electricity transmission in Canada, accessed April 30, 2026, </w:t>
      </w:r>
      <w:hyperlink r:id="rId49">
        <w:r w:rsidDel="00000000" w:rsidR="00000000" w:rsidRPr="00000000">
          <w:rPr>
            <w:rFonts w:ascii="Google Sans" w:cs="Google Sans" w:eastAsia="Google Sans" w:hAnsi="Google Sans"/>
            <w:color w:val="0000ee"/>
            <w:sz w:val="24"/>
            <w:szCs w:val="24"/>
            <w:u w:val="single"/>
            <w:rtl w:val="0"/>
          </w:rPr>
          <w:t xml:space="preserve">https://www.electricity.ca/files/Transmission-Fact-Sheet-2026-FiNAL.pdf</w:t>
        </w:r>
      </w:hyperlink>
      <w:r w:rsidDel="00000000" w:rsidR="00000000" w:rsidRPr="00000000">
        <w:rPr>
          <w:rtl w:val="0"/>
        </w:rPr>
      </w:r>
    </w:p>
    <w:p w:rsidR="00000000" w:rsidDel="00000000" w:rsidP="00000000" w:rsidRDefault="00000000" w:rsidRPr="00000000" w14:paraId="000001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Snapshot: New Canada's Energy Future net-zero analysis: the role of inter-provincial transmission expansion, accessed April 30, 2026, </w:t>
      </w:r>
      <w:hyperlink r:id="rId50">
        <w:r w:rsidDel="00000000" w:rsidR="00000000" w:rsidRPr="00000000">
          <w:rPr>
            <w:rFonts w:ascii="Google Sans" w:cs="Google Sans" w:eastAsia="Google Sans" w:hAnsi="Google Sans"/>
            <w:color w:val="0000ee"/>
            <w:sz w:val="24"/>
            <w:szCs w:val="24"/>
            <w:u w:val="single"/>
            <w:rtl w:val="0"/>
          </w:rPr>
          <w:t xml:space="preserve">https://www.cer-rec.gc.ca/en/data-analysis/energy-markets/market-snapshots/2024/market-snapshot-new-canadas-energy-future-net-zero-analysis-the-role-of-inter-provincial-transmission-expansion.html?utm_source=linkedin&amp;utm_content=8ea9d11d-1234-473a-a121-564ea9456e25</w:t>
        </w:r>
      </w:hyperlink>
      <w:r w:rsidDel="00000000" w:rsidR="00000000" w:rsidRPr="00000000">
        <w:rPr>
          <w:rtl w:val="0"/>
        </w:rPr>
      </w:r>
    </w:p>
    <w:p w:rsidR="00000000" w:rsidDel="00000000" w:rsidP="00000000" w:rsidRDefault="00000000" w:rsidRPr="00000000" w14:paraId="000001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Daily — Electricity supply and disposition, 2024 (preliminary), accessed April 30, 2026, </w:t>
      </w:r>
      <w:hyperlink r:id="rId51">
        <w:r w:rsidDel="00000000" w:rsidR="00000000" w:rsidRPr="00000000">
          <w:rPr>
            <w:rFonts w:ascii="Google Sans" w:cs="Google Sans" w:eastAsia="Google Sans" w:hAnsi="Google Sans"/>
            <w:color w:val="0000ee"/>
            <w:sz w:val="24"/>
            <w:szCs w:val="24"/>
            <w:u w:val="single"/>
            <w:rtl w:val="0"/>
          </w:rPr>
          <w:t xml:space="preserve">https://www150.statcan.gc.ca/n1/daily-quotidien/251022/dq251022c-eng.htm</w:t>
        </w:r>
      </w:hyperlink>
      <w:r w:rsidDel="00000000" w:rsidR="00000000" w:rsidRPr="00000000">
        <w:rPr>
          <w:rtl w:val="0"/>
        </w:rPr>
      </w:r>
    </w:p>
    <w:p w:rsidR="00000000" w:rsidDel="00000000" w:rsidP="00000000" w:rsidRDefault="00000000" w:rsidRPr="00000000" w14:paraId="000001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Western Canadian Select | Alberta Energy Regulator, accessed April 30, 2026, </w:t>
      </w:r>
      <w:hyperlink r:id="rId52">
        <w:r w:rsidDel="00000000" w:rsidR="00000000" w:rsidRPr="00000000">
          <w:rPr>
            <w:rFonts w:ascii="Google Sans" w:cs="Google Sans" w:eastAsia="Google Sans" w:hAnsi="Google Sans"/>
            <w:color w:val="0000ee"/>
            <w:sz w:val="24"/>
            <w:szCs w:val="24"/>
            <w:u w:val="single"/>
            <w:rtl w:val="0"/>
          </w:rPr>
          <w:t xml:space="preserve">https://www.aer.ca/data-and-performance-reports/statistical-reports/alberta-energy-outlook-st98/prices-and-capital-expenditure/crude-oil-prices/western-canadian-select</w:t>
        </w:r>
      </w:hyperlink>
      <w:r w:rsidDel="00000000" w:rsidR="00000000" w:rsidRPr="00000000">
        <w:rPr>
          <w:rtl w:val="0"/>
        </w:rPr>
      </w:r>
    </w:p>
    <w:p w:rsidR="00000000" w:rsidDel="00000000" w:rsidP="00000000" w:rsidRDefault="00000000" w:rsidRPr="00000000" w14:paraId="000001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WCS oil price - Alberta Economic Dashboard, accessed April 30, 2026, </w:t>
      </w:r>
      <w:hyperlink r:id="rId53">
        <w:r w:rsidDel="00000000" w:rsidR="00000000" w:rsidRPr="00000000">
          <w:rPr>
            <w:rFonts w:ascii="Google Sans" w:cs="Google Sans" w:eastAsia="Google Sans" w:hAnsi="Google Sans"/>
            <w:color w:val="0000ee"/>
            <w:sz w:val="24"/>
            <w:szCs w:val="24"/>
            <w:u w:val="single"/>
            <w:rtl w:val="0"/>
          </w:rPr>
          <w:t xml:space="preserve">https://economicdashboard.alberta.ca/dashboard/wcs-oil-price/</w:t>
        </w:r>
      </w:hyperlink>
      <w:r w:rsidDel="00000000" w:rsidR="00000000" w:rsidRPr="00000000">
        <w:rPr>
          <w:rtl w:val="0"/>
        </w:rPr>
      </w:r>
    </w:p>
    <w:p w:rsidR="00000000" w:rsidDel="00000000" w:rsidP="00000000" w:rsidRDefault="00000000" w:rsidRPr="00000000" w14:paraId="000001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Updating Our Oil Forecast - BMO Economics, accessed April 30, 2026, </w:t>
      </w:r>
      <w:hyperlink r:id="rId54">
        <w:r w:rsidDel="00000000" w:rsidR="00000000" w:rsidRPr="00000000">
          <w:rPr>
            <w:rFonts w:ascii="Google Sans" w:cs="Google Sans" w:eastAsia="Google Sans" w:hAnsi="Google Sans"/>
            <w:color w:val="0000ee"/>
            <w:sz w:val="24"/>
            <w:szCs w:val="24"/>
            <w:u w:val="single"/>
            <w:rtl w:val="0"/>
          </w:rPr>
          <w:t xml:space="preserve">https://economics.bmo.com/en/publications/detail/fef7ebd7-e716-407e-9dd5-771e99334fe6/</w:t>
        </w:r>
      </w:hyperlink>
      <w:r w:rsidDel="00000000" w:rsidR="00000000" w:rsidRPr="00000000">
        <w:rPr>
          <w:rtl w:val="0"/>
        </w:rPr>
      </w:r>
    </w:p>
    <w:p w:rsidR="00000000" w:rsidDel="00000000" w:rsidP="00000000" w:rsidRDefault="00000000" w:rsidRPr="00000000" w14:paraId="000001D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Renewable Energy in Canada: Current Status and Near-Term Developments - CER, accessed April 30, 2026, </w:t>
      </w:r>
      <w:hyperlink r:id="rId55">
        <w:r w:rsidDel="00000000" w:rsidR="00000000" w:rsidRPr="00000000">
          <w:rPr>
            <w:rFonts w:ascii="Google Sans" w:cs="Google Sans" w:eastAsia="Google Sans" w:hAnsi="Google Sans"/>
            <w:color w:val="0000ee"/>
            <w:sz w:val="24"/>
            <w:szCs w:val="24"/>
            <w:u w:val="single"/>
            <w:rtl w:val="0"/>
          </w:rPr>
          <w:t xml:space="preserve">https://www.cer-rec.gc.ca/en/data-analysis/energy-markets/renewable-energy-canada/</w:t>
        </w:r>
      </w:hyperlink>
      <w:r w:rsidDel="00000000" w:rsidR="00000000" w:rsidRPr="00000000">
        <w:rPr>
          <w:rtl w:val="0"/>
        </w:rPr>
      </w:r>
    </w:p>
    <w:p w:rsidR="00000000" w:rsidDel="00000000" w:rsidP="00000000" w:rsidRDefault="00000000" w:rsidRPr="00000000" w14:paraId="000001D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Renewable Energy in Canada: Current Status and Near-Term Developments - CER, accessed April 30, 2026, </w:t>
      </w:r>
      <w:hyperlink r:id="rId56">
        <w:r w:rsidDel="00000000" w:rsidR="00000000" w:rsidRPr="00000000">
          <w:rPr>
            <w:rFonts w:ascii="Google Sans" w:cs="Google Sans" w:eastAsia="Google Sans" w:hAnsi="Google Sans"/>
            <w:color w:val="0000ee"/>
            <w:sz w:val="24"/>
            <w:szCs w:val="24"/>
            <w:u w:val="single"/>
            <w:rtl w:val="0"/>
          </w:rPr>
          <w:t xml:space="preserve">https://www.cer-rec.gc.ca/en/data-analysis/energy-commodities/electricity/report/renewable-energy-canada/index.html</w:t>
        </w:r>
      </w:hyperlink>
      <w:r w:rsidDel="00000000" w:rsidR="00000000" w:rsidRPr="00000000">
        <w:rPr>
          <w:rtl w:val="0"/>
        </w:rPr>
      </w:r>
    </w:p>
    <w:p w:rsidR="00000000" w:rsidDel="00000000" w:rsidP="00000000" w:rsidRDefault="00000000" w:rsidRPr="00000000" w14:paraId="000001D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 the Numbers - Canadian Renewable Energy Association, accessed April 30, 2026, </w:t>
      </w:r>
      <w:hyperlink r:id="rId57">
        <w:r w:rsidDel="00000000" w:rsidR="00000000" w:rsidRPr="00000000">
          <w:rPr>
            <w:rFonts w:ascii="Google Sans" w:cs="Google Sans" w:eastAsia="Google Sans" w:hAnsi="Google Sans"/>
            <w:color w:val="0000ee"/>
            <w:sz w:val="24"/>
            <w:szCs w:val="24"/>
            <w:u w:val="single"/>
            <w:rtl w:val="0"/>
          </w:rPr>
          <w:t xml:space="preserve">https://renewablesassociation.ca/by-the-numbers/</w:t>
        </w:r>
      </w:hyperlink>
      <w:r w:rsidDel="00000000" w:rsidR="00000000" w:rsidRPr="00000000">
        <w:rPr>
          <w:rtl w:val="0"/>
        </w:rPr>
      </w:r>
    </w:p>
    <w:p w:rsidR="00000000" w:rsidDel="00000000" w:rsidP="00000000" w:rsidRDefault="00000000" w:rsidRPr="00000000" w14:paraId="000001D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in Canada: 35 Facts &amp; Statistics, accessed April 30, 2026, </w:t>
      </w:r>
      <w:hyperlink r:id="rId58">
        <w:r w:rsidDel="00000000" w:rsidR="00000000" w:rsidRPr="00000000">
          <w:rPr>
            <w:rFonts w:ascii="Google Sans" w:cs="Google Sans" w:eastAsia="Google Sans" w:hAnsi="Google Sans"/>
            <w:color w:val="0000ee"/>
            <w:sz w:val="24"/>
            <w:szCs w:val="24"/>
            <w:u w:val="single"/>
            <w:rtl w:val="0"/>
          </w:rPr>
          <w:t xml:space="preserve">https://www.canadaaction.ca/energy-facts</w:t>
        </w:r>
      </w:hyperlink>
      <w:r w:rsidDel="00000000" w:rsidR="00000000" w:rsidRPr="00000000">
        <w:rPr>
          <w:rtl w:val="0"/>
        </w:rPr>
      </w:r>
    </w:p>
    <w:p w:rsidR="00000000" w:rsidDel="00000000" w:rsidP="00000000" w:rsidRDefault="00000000" w:rsidRPr="00000000" w14:paraId="000001D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 - Countries &amp; Regions - IEA, accessed April 30, 2026, </w:t>
      </w:r>
      <w:hyperlink r:id="rId59">
        <w:r w:rsidDel="00000000" w:rsidR="00000000" w:rsidRPr="00000000">
          <w:rPr>
            <w:rFonts w:ascii="Google Sans" w:cs="Google Sans" w:eastAsia="Google Sans" w:hAnsi="Google Sans"/>
            <w:color w:val="0000ee"/>
            <w:sz w:val="24"/>
            <w:szCs w:val="24"/>
            <w:u w:val="single"/>
            <w:rtl w:val="0"/>
          </w:rPr>
          <w:t xml:space="preserve">https://www.iea.org/countries/canada</w:t>
        </w:r>
      </w:hyperlink>
      <w:r w:rsidDel="00000000" w:rsidR="00000000" w:rsidRPr="00000000">
        <w:rPr>
          <w:rtl w:val="0"/>
        </w:rPr>
      </w:r>
    </w:p>
    <w:p w:rsidR="00000000" w:rsidDel="00000000" w:rsidP="00000000" w:rsidRDefault="00000000" w:rsidRPr="00000000" w14:paraId="000001D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Canada's Energy Future 2026: Scenario Results - CER, accessed April 30, 2026, </w:t>
      </w:r>
      <w:hyperlink r:id="rId60">
        <w:r w:rsidDel="00000000" w:rsidR="00000000" w:rsidRPr="00000000">
          <w:rPr>
            <w:rFonts w:ascii="Google Sans" w:cs="Google Sans" w:eastAsia="Google Sans" w:hAnsi="Google Sans"/>
            <w:color w:val="0000ee"/>
            <w:sz w:val="24"/>
            <w:szCs w:val="24"/>
            <w:u w:val="single"/>
            <w:rtl w:val="0"/>
          </w:rPr>
          <w:t xml:space="preserve">https://www.cer-rec.gc.ca/en/data-analysis/canada-energy-future/2026/results/</w:t>
        </w:r>
      </w:hyperlink>
      <w:r w:rsidDel="00000000" w:rsidR="00000000" w:rsidRPr="00000000">
        <w:rPr>
          <w:rtl w:val="0"/>
        </w:rPr>
      </w:r>
    </w:p>
    <w:p w:rsidR="00000000" w:rsidDel="00000000" w:rsidP="00000000" w:rsidRDefault="00000000" w:rsidRPr="00000000" w14:paraId="000001D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Fact Book, 2025-2026, accessed April 30, 2026, </w:t>
      </w:r>
      <w:hyperlink r:id="rId61">
        <w:r w:rsidDel="00000000" w:rsidR="00000000" w:rsidRPr="00000000">
          <w:rPr>
            <w:rFonts w:ascii="Google Sans" w:cs="Google Sans" w:eastAsia="Google Sans" w:hAnsi="Google Sans"/>
            <w:color w:val="0000ee"/>
            <w:sz w:val="24"/>
            <w:szCs w:val="24"/>
            <w:u w:val="single"/>
            <w:rtl w:val="0"/>
          </w:rPr>
          <w:t xml:space="preserve">https://energy-information.canada.ca/sites/default/files/2025-11/energy-fact-book-2025-2026.pdf</w:t>
        </w:r>
      </w:hyperlink>
      <w:r w:rsidDel="00000000" w:rsidR="00000000" w:rsidRPr="00000000">
        <w:rPr>
          <w:rtl w:val="0"/>
        </w:rPr>
      </w:r>
    </w:p>
    <w:p w:rsidR="00000000" w:rsidDel="00000000" w:rsidP="00000000" w:rsidRDefault="00000000" w:rsidRPr="00000000" w14:paraId="000001D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Fact Book, 2025-2026: Investment, accessed April 30, 2026, </w:t>
      </w:r>
      <w:hyperlink r:id="rId62">
        <w:r w:rsidDel="00000000" w:rsidR="00000000" w:rsidRPr="00000000">
          <w:rPr>
            <w:rFonts w:ascii="Google Sans" w:cs="Google Sans" w:eastAsia="Google Sans" w:hAnsi="Google Sans"/>
            <w:color w:val="0000ee"/>
            <w:sz w:val="24"/>
            <w:szCs w:val="24"/>
            <w:u w:val="single"/>
            <w:rtl w:val="0"/>
          </w:rPr>
          <w:t xml:space="preserve">https://energy-information.canada.ca/en/energy-facts/investment</w:t>
        </w:r>
      </w:hyperlink>
      <w:r w:rsidDel="00000000" w:rsidR="00000000" w:rsidRPr="00000000">
        <w:rPr>
          <w:rtl w:val="0"/>
        </w:rPr>
      </w:r>
    </w:p>
    <w:p w:rsidR="00000000" w:rsidDel="00000000" w:rsidP="00000000" w:rsidRDefault="00000000" w:rsidRPr="00000000" w14:paraId="000001D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Energy Fact Book, 2025-2026: Clean power and low carbon fuels ..., accessed April 30, 2026, </w:t>
      </w:r>
      <w:hyperlink r:id="rId63">
        <w:r w:rsidDel="00000000" w:rsidR="00000000" w:rsidRPr="00000000">
          <w:rPr>
            <w:rFonts w:ascii="Google Sans" w:cs="Google Sans" w:eastAsia="Google Sans" w:hAnsi="Google Sans"/>
            <w:color w:val="0000ee"/>
            <w:sz w:val="24"/>
            <w:szCs w:val="24"/>
            <w:u w:val="single"/>
            <w:rtl w:val="0"/>
          </w:rPr>
          <w:t xml:space="preserve">https://energy-information.canada.ca/en/energy-facts/clean-power-low-carbon-fuels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huskymidstream.com/operations/terminals.asp" TargetMode="External"/><Relationship Id="rId42" Type="http://schemas.openxmlformats.org/officeDocument/2006/relationships/hyperlink" Target="https://www.gibsonenergy.com/operations/hardisty-terminal/" TargetMode="External"/><Relationship Id="rId41" Type="http://schemas.openxmlformats.org/officeDocument/2006/relationships/hyperlink" Target="https://www.cer-rec.gc.ca/en/data-analysis/energy-commodities/crude-oil-petroleum-products/statistics/north-american-crude-oil-refinery/index.html" TargetMode="External"/><Relationship Id="rId44" Type="http://schemas.openxmlformats.org/officeDocument/2006/relationships/hyperlink" Target="https://www.cer-rec.gc.ca/en/data-analysis/energy-markets/market-snapshots/2018/market-snapshot-where-does-canada-store-natural-gas.html" TargetMode="External"/><Relationship Id="rId43" Type="http://schemas.openxmlformats.org/officeDocument/2006/relationships/hyperlink" Target="https://www.cga.ca/wp-content/uploads/2016/09/Natural-Gas-Storage-2016.pdf" TargetMode="External"/><Relationship Id="rId46" Type="http://schemas.openxmlformats.org/officeDocument/2006/relationships/hyperlink" Target="https://www.iea.org/articles/canada-electricity-security-policy-2" TargetMode="External"/><Relationship Id="rId45" Type="http://schemas.openxmlformats.org/officeDocument/2006/relationships/hyperlink" Target="https://www.privsource.com/acquisitions/deal/usd-partners-lp-to-acquire-hardisty-south-terminal-assets-WNSpp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48" Type="http://schemas.openxmlformats.org/officeDocument/2006/relationships/hyperlink" Target="https://www.cer-rec.gc.ca/en/data-analysis/energy-markets/market-snapshots/2025/market-snapshot-electricity-trade-who-regulates-what-in-canada.html?utm_source=facebook&amp;utm_content=ed5d06b3-5ba8-40f1-a322-c35b9a6e25e7&amp;wbdisable=true" TargetMode="External"/><Relationship Id="rId47" Type="http://schemas.openxmlformats.org/officeDocument/2006/relationships/hyperlink" Target="https://www.funwithdata.ca/canada-facts/economy/how-much-electricity-does-canada-sell-to-the-united-states" TargetMode="External"/><Relationship Id="rId49" Type="http://schemas.openxmlformats.org/officeDocument/2006/relationships/hyperlink" Target="https://www.electricity.ca/files/Transmission-Fact-Sheet-2026-FiNAL.pdf" TargetMode="Externa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7.png"/><Relationship Id="rId31" Type="http://schemas.openxmlformats.org/officeDocument/2006/relationships/hyperlink" Target="https://www.rec-cer.gc.ca/en/data-analysis/energy-markets/market-snapshots/2024/market-snapshot-record-high-annual-oil-pipeline-throughputs-again-in-2023.html?=undefined&amp;wbdisable=false" TargetMode="External"/><Relationship Id="rId30" Type="http://schemas.openxmlformats.org/officeDocument/2006/relationships/hyperlink" Target="https://www.cer-rec.gc.ca/en/data-analysis/facilities-we-regulate/look-pipeline-flow-capacity/crude-oil-liquids-pipeline-flow-capacity.html" TargetMode="External"/><Relationship Id="rId33" Type="http://schemas.openxmlformats.org/officeDocument/2006/relationships/hyperlink" Target="https://en.wikipedia.org/wiki/Keystone_Pipeline" TargetMode="External"/><Relationship Id="rId32" Type="http://schemas.openxmlformats.org/officeDocument/2006/relationships/hyperlink" Target="https://www.eia.gov/international/analysis/country/can" TargetMode="External"/><Relationship Id="rId35" Type="http://schemas.openxmlformats.org/officeDocument/2006/relationships/hyperlink" Target="https://open.canada.ca/data/en/dataset/dc343c43-a592-4a27-8ee7-c77df56afb34" TargetMode="External"/><Relationship Id="rId34" Type="http://schemas.openxmlformats.org/officeDocument/2006/relationships/hyperlink" Target="https://publications.gc.ca/collections/collection_2018/one-neb/NE23-193-2018-eng.pdf" TargetMode="External"/><Relationship Id="rId37" Type="http://schemas.openxmlformats.org/officeDocument/2006/relationships/hyperlink" Target="https://www.cer-rec.gc.ca/en/data-analysis/energy-markets/market-snapshots/index.html" TargetMode="External"/><Relationship Id="rId36" Type="http://schemas.openxmlformats.org/officeDocument/2006/relationships/hyperlink" Target="https://www.cer-rec.gc.ca/en/data-analysis/energy-markets/market-snapshots/2026/market-snapshot-canadian-crude-refinery-runs-held-steady-in-2025.html" TargetMode="External"/><Relationship Id="rId39" Type="http://schemas.openxmlformats.org/officeDocument/2006/relationships/hyperlink" Target="https://pocketoption.com/blog/en/knowledge-base/markets/oil-refineries-in-canada/" TargetMode="External"/><Relationship Id="rId38" Type="http://schemas.openxmlformats.org/officeDocument/2006/relationships/hyperlink" Target="https://www.capp.ca/wp-content/uploads/2025/11/Canadian-Refining-Industry-October-17-2025.pdf" TargetMode="External"/><Relationship Id="rId62" Type="http://schemas.openxmlformats.org/officeDocument/2006/relationships/hyperlink" Target="https://energy-information.canada.ca/en/energy-facts/investment" TargetMode="External"/><Relationship Id="rId61" Type="http://schemas.openxmlformats.org/officeDocument/2006/relationships/hyperlink" Target="https://energy-information.canada.ca/sites/default/files/2025-11/energy-fact-book-2025-2026.pdf" TargetMode="External"/><Relationship Id="rId20" Type="http://schemas.openxmlformats.org/officeDocument/2006/relationships/hyperlink" Target="https://www.aer.ca/data-and-performance-reports/activity-and-data/spatial-data" TargetMode="External"/><Relationship Id="rId63" Type="http://schemas.openxmlformats.org/officeDocument/2006/relationships/hyperlink" Target="https://energy-information.canada.ca/en/energy-facts/clean-power-low-carbon-fuels" TargetMode="External"/><Relationship Id="rId22" Type="http://schemas.openxmlformats.org/officeDocument/2006/relationships/hyperlink" Target="https://www.eia.gov/maps/maps.php" TargetMode="External"/><Relationship Id="rId21" Type="http://schemas.openxmlformats.org/officeDocument/2006/relationships/hyperlink" Target="https://www.shell.ca/en_ca/about-us/projects-and-sites.html" TargetMode="External"/><Relationship Id="rId24" Type="http://schemas.openxmlformats.org/officeDocument/2006/relationships/hyperlink" Target="https://www.cer-rec.gc.ca/en/safety-environment/industry-performance/interactive-pipeline/" TargetMode="External"/><Relationship Id="rId23" Type="http://schemas.openxmlformats.org/officeDocument/2006/relationships/hyperlink" Target="https://open.canada.ca/data/en/dataset/4188dacc-07c5-f72c-cfb1-cd505fcd4eb4" TargetMode="External"/><Relationship Id="rId60" Type="http://schemas.openxmlformats.org/officeDocument/2006/relationships/hyperlink" Target="https://www.cer-rec.gc.ca/en/data-analysis/canada-energy-future/2026/results/" TargetMode="External"/><Relationship Id="rId26" Type="http://schemas.openxmlformats.org/officeDocument/2006/relationships/hyperlink" Target="https://open.canada.ca/data/en/dataset/aae6619f-f9f3-435d-bc32-42decd58b674" TargetMode="External"/><Relationship Id="rId25" Type="http://schemas.openxmlformats.org/officeDocument/2006/relationships/hyperlink" Target="https://geoappext.nrcan.gc.ca/arcgis/rest/services/NACEI/energy_infrastructure_of_north_america_en/MapServer" TargetMode="External"/><Relationship Id="rId28" Type="http://schemas.openxmlformats.org/officeDocument/2006/relationships/hyperlink" Target="https://www.cer-rec.gc.ca/en/data-analysis/energy-markets/market-snapshots/2024/market-snapshot-canadas-oil-pipeline-capacity-2024.html" TargetMode="External"/><Relationship Id="rId27" Type="http://schemas.openxmlformats.org/officeDocument/2006/relationships/hyperlink" Target="https://www.eia.gov/trilateral/#!/maps" TargetMode="External"/><Relationship Id="rId29" Type="http://schemas.openxmlformats.org/officeDocument/2006/relationships/hyperlink" Target="https://www.capp.ca/wp-content/uploads/2026/02/Canadian-Oil-and-Gas-Export-Infrastructure-February-18-2026.pdf" TargetMode="External"/><Relationship Id="rId51" Type="http://schemas.openxmlformats.org/officeDocument/2006/relationships/hyperlink" Target="https://www150.statcan.gc.ca/n1/daily-quotidien/251022/dq251022c-eng.htm" TargetMode="External"/><Relationship Id="rId50" Type="http://schemas.openxmlformats.org/officeDocument/2006/relationships/hyperlink" Target="https://www.cer-rec.gc.ca/en/data-analysis/energy-markets/market-snapshots/2024/market-snapshot-new-canadas-energy-future-net-zero-analysis-the-role-of-inter-provincial-transmission-expansion.html?utm_source=linkedin&amp;utm_content=8ea9d11d-1234-473a-a121-564ea9456e25" TargetMode="External"/><Relationship Id="rId53" Type="http://schemas.openxmlformats.org/officeDocument/2006/relationships/hyperlink" Target="https://economicdashboard.alberta.ca/dashboard/wcs-oil-price/" TargetMode="External"/><Relationship Id="rId52" Type="http://schemas.openxmlformats.org/officeDocument/2006/relationships/hyperlink" Target="https://www.aer.ca/data-and-performance-reports/statistical-reports/alberta-energy-outlook-st98/prices-and-capital-expenditure/crude-oil-prices/western-canadian-select" TargetMode="External"/><Relationship Id="rId11" Type="http://schemas.openxmlformats.org/officeDocument/2006/relationships/image" Target="media/image4.png"/><Relationship Id="rId55" Type="http://schemas.openxmlformats.org/officeDocument/2006/relationships/hyperlink" Target="https://www.cer-rec.gc.ca/en/data-analysis/energy-markets/renewable-energy-canada/" TargetMode="External"/><Relationship Id="rId10" Type="http://schemas.openxmlformats.org/officeDocument/2006/relationships/image" Target="media/image2.png"/><Relationship Id="rId54" Type="http://schemas.openxmlformats.org/officeDocument/2006/relationships/hyperlink" Target="https://economics.bmo.com/en/publications/detail/fef7ebd7-e716-407e-9dd5-771e99334fe6/" TargetMode="External"/><Relationship Id="rId13" Type="http://schemas.openxmlformats.org/officeDocument/2006/relationships/image" Target="media/image5.png"/><Relationship Id="rId57" Type="http://schemas.openxmlformats.org/officeDocument/2006/relationships/hyperlink" Target="https://renewablesassociation.ca/by-the-numbers/" TargetMode="External"/><Relationship Id="rId12" Type="http://schemas.openxmlformats.org/officeDocument/2006/relationships/image" Target="media/image3.png"/><Relationship Id="rId56" Type="http://schemas.openxmlformats.org/officeDocument/2006/relationships/hyperlink" Target="https://www.cer-rec.gc.ca/en/data-analysis/energy-commodities/electricity/report/renewable-energy-canada/index.html" TargetMode="External"/><Relationship Id="rId15" Type="http://schemas.openxmlformats.org/officeDocument/2006/relationships/hyperlink" Target="https://ags.aer.ca/publications/atlas-western-canada-sedimentary-basin" TargetMode="External"/><Relationship Id="rId59" Type="http://schemas.openxmlformats.org/officeDocument/2006/relationships/hyperlink" Target="https://www.iea.org/countries/canada" TargetMode="External"/><Relationship Id="rId14" Type="http://schemas.openxmlformats.org/officeDocument/2006/relationships/image" Target="media/image9.png"/><Relationship Id="rId58" Type="http://schemas.openxmlformats.org/officeDocument/2006/relationships/hyperlink" Target="https://www.canadaaction.ca/energy-facts" TargetMode="External"/><Relationship Id="rId17" Type="http://schemas.openxmlformats.org/officeDocument/2006/relationships/hyperlink" Target="https://open.alberta.ca/opendata/gda-dig_2008_0001" TargetMode="External"/><Relationship Id="rId16" Type="http://schemas.openxmlformats.org/officeDocument/2006/relationships/hyperlink" Target="https://open.alberta.ca/dataset/?tags=WESTERN-CANADA-SEDIMENTARY-BASIN&amp;tags=72L&amp;tags=WESTERN-CANADA-SEDIMENTARY-BASIN" TargetMode="External"/><Relationship Id="rId19" Type="http://schemas.openxmlformats.org/officeDocument/2006/relationships/hyperlink" Target="https://pubs.usgs.gov/of/2012/1111/Sedimentary_Basins_of_the_United_States.html" TargetMode="External"/><Relationship Id="rId18" Type="http://schemas.openxmlformats.org/officeDocument/2006/relationships/hyperlink" Target="https://databasin.org/datasets/df28fcde11774fea94d930819126704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