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1A59E" w14:textId="77777777" w:rsidR="006A6D18" w:rsidRDefault="006A6D18" w:rsidP="006A6D18">
      <w:pPr>
        <w:jc w:val="center"/>
        <w:rPr>
          <w:sz w:val="56"/>
          <w:szCs w:val="56"/>
          <w:lang w:val="en-US"/>
        </w:rPr>
      </w:pPr>
      <w:r w:rsidRPr="006A6D18">
        <w:rPr>
          <w:sz w:val="56"/>
          <w:szCs w:val="56"/>
          <w:lang w:val="en-US"/>
        </w:rPr>
        <w:t>Green Energy</w:t>
      </w:r>
    </w:p>
    <w:p w14:paraId="7DF9439A" w14:textId="1E056508" w:rsidR="006A6D18" w:rsidRPr="006A6D18" w:rsidRDefault="006A6D18" w:rsidP="006A6D18">
      <w:pPr>
        <w:rPr>
          <w:sz w:val="56"/>
          <w:szCs w:val="56"/>
          <w:lang w:val="en-US"/>
        </w:rPr>
      </w:pPr>
      <w:r>
        <w:rPr>
          <w:lang w:val="en-US"/>
        </w:rPr>
        <w:br/>
      </w:r>
      <w:r>
        <w:rPr>
          <w:lang w:val="en-US"/>
        </w:rPr>
        <w:br/>
      </w:r>
      <w:r w:rsidRPr="006A6D18">
        <w:rPr>
          <w:b/>
          <w:bCs/>
        </w:rPr>
        <w:t>North American Energy Systems in Transition: A Comparative Analysis of Renewable Integration, Industrial Carbon Sequestration, and Indigenous Energy Sovereignty</w:t>
      </w:r>
    </w:p>
    <w:p w14:paraId="5EA37274" w14:textId="77777777" w:rsidR="006A6D18" w:rsidRPr="006A6D18" w:rsidRDefault="006A6D18" w:rsidP="006A6D18">
      <w:r w:rsidRPr="006A6D18">
        <w:t>The modern energy landscape of North America is defined by a profound structural shift as both Canada and the United States navigate the complex requirements of decarbonization, grid reliability, and economic reconciliation. In Canada, the integration of non-emitting electricity has reached a critical threshold, with renewable sources now accounting for approximately two-thirds of total electricity generation and one-sixth of the country’s total end-use energy demand. This progress is mirrored in the United States, where utility-scale solar and battery storage are set to achieve record-breaking installations in 2026, driven by a combination of market efficiency and evolving federal mandates. However, the transition extends beyond simple generation; it encompasses the rapid maturation of industrial carbon capture and storage (CCS) and a paradigm shift in project ownership, where Indigenous and Tribal communities are emerging as central equity partners in the infrastructure that powers the continent. As energy demand continues to rise—fueled by the electrification of transportation and the explosive growth of data centers—the ability of these systems to integrate variable renewable energy (VRE) while maintaining industrial competitiveness has become the primary challenge for policymakers and engineers alike.</w:t>
      </w:r>
    </w:p>
    <w:p w14:paraId="3F6AA5FB" w14:textId="77777777" w:rsidR="006A6D18" w:rsidRPr="006A6D18" w:rsidRDefault="006A6D18" w:rsidP="006A6D18">
      <w:pPr>
        <w:rPr>
          <w:b/>
          <w:bCs/>
        </w:rPr>
      </w:pPr>
      <w:r w:rsidRPr="006A6D18">
        <w:rPr>
          <w:b/>
          <w:bCs/>
        </w:rPr>
        <w:t>Renewable Electricity Infrastructure: Capacity Trends and Grid Dynamics</w:t>
      </w:r>
    </w:p>
    <w:p w14:paraId="796E5FDA" w14:textId="77777777" w:rsidR="006A6D18" w:rsidRPr="006A6D18" w:rsidRDefault="006A6D18" w:rsidP="006A6D18">
      <w:r w:rsidRPr="006A6D18">
        <w:t>The transition to a cleaner grid in Canada and the United States is characterized by a diversification of the energy mix, moving away from a historical reliance on large-scale dispatchable fossil fuels toward a hybrid system dominated by variable wind and solar, supported by burgeoning storage capacity. In Canada, the renewable energy sector is anchored by a vast hydroelectric infrastructure that provides the base-load stability necessary for integrating newer technologies. In the United States, the market is currently experiencing a solar-led expansion of unprecedented scale, with 2026 projected to be a landmark year for new capacity additions.</w:t>
      </w:r>
    </w:p>
    <w:p w14:paraId="1A602DF3" w14:textId="77777777" w:rsidR="006A6D18" w:rsidRPr="006A6D18" w:rsidRDefault="006A6D18" w:rsidP="006A6D18">
      <w:pPr>
        <w:rPr>
          <w:b/>
          <w:bCs/>
        </w:rPr>
      </w:pPr>
      <w:r w:rsidRPr="006A6D18">
        <w:rPr>
          <w:b/>
          <w:bCs/>
        </w:rPr>
        <w:t>Canadian Renewable Generation and Projections</w:t>
      </w:r>
    </w:p>
    <w:p w14:paraId="76CF9193" w14:textId="77777777" w:rsidR="006A6D18" w:rsidRPr="006A6D18" w:rsidRDefault="006A6D18" w:rsidP="006A6D18">
      <w:r w:rsidRPr="006A6D18">
        <w:t>Canada currently ranks as the fourth-largest producer of renewable electricity globally, a position primarily secured through its extensive hydroelectric resources, which contributed 58% of national electricity generation in 2023. However, the growth profile of the Canadian grid is increasingly defined by wind and solar. Between 2010 and 2023, wind generation in Canada surged by 364%, reaching 40.1 TWh, while solar output expanded more than fortyfold to 4.9 TWh. Total renewable generation reached 411 TWh in 2023, representing 66% of the national electricity mix. Despite this growth, total renewable output actually fell by 9% in 2023 relative to the previous year, a phenomenon attributed to severe drought conditions that curtailed hydroelectric production, emphasizing the vulnerability of weather-dependent systems.</w:t>
      </w:r>
    </w:p>
    <w:p w14:paraId="1410AD7D" w14:textId="77777777" w:rsidR="006A6D18" w:rsidRPr="006A6D18" w:rsidRDefault="006A6D18" w:rsidP="006A6D18">
      <w:r w:rsidRPr="006A6D18">
        <w:t xml:space="preserve">The future of the Canadian grid is mapped through various scenarios produced by the Canada Energy Regulator (CER). Under "Current Measures" scenarios, electricity demand is expected to grow by nearly </w:t>
      </w:r>
      <w:r w:rsidRPr="006A6D18">
        <w:lastRenderedPageBreak/>
        <w:t>50% by 2050, whereas "Net-Zero" scenarios suggest demand could double as the economy electrifies. To meet this demand, installed capacity must increase from approximately 160 GW in 2023 to over 310 GW by 2050. Much of this new capacity is slated for Ontario and Alberta, which have led the country in renewable additions over the last decade.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3"/>
        <w:gridCol w:w="4829"/>
        <w:gridCol w:w="2255"/>
      </w:tblGrid>
      <w:tr w:rsidR="006A6D18" w:rsidRPr="006A6D18" w14:paraId="2DD2323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DC5C44" w14:textId="77777777" w:rsidR="006A6D18" w:rsidRPr="006A6D18" w:rsidRDefault="006A6D18" w:rsidP="006A6D18">
            <w:r w:rsidRPr="006A6D18">
              <w:rPr>
                <w:b/>
                <w:bCs/>
              </w:rPr>
              <w:t>Province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6CC7DF6" w14:textId="77777777" w:rsidR="006A6D18" w:rsidRPr="006A6D18" w:rsidRDefault="006A6D18" w:rsidP="006A6D18">
            <w:r w:rsidRPr="006A6D18">
              <w:rPr>
                <w:b/>
                <w:bCs/>
              </w:rPr>
              <w:t>Renewable Capacity Addition Share (2010-2023) (%)</w:t>
            </w:r>
          </w:p>
        </w:tc>
        <w:tc>
          <w:tcPr>
            <w:tcW w:w="0" w:type="auto"/>
            <w:tcBorders>
              <w:top w:val="single" w:sz="6" w:space="0" w:color="auto"/>
              <w:left w:val="single" w:sz="6" w:space="0" w:color="auto"/>
              <w:bottom w:val="single" w:sz="6" w:space="0" w:color="auto"/>
              <w:right w:val="single" w:sz="6" w:space="0" w:color="auto"/>
            </w:tcBorders>
            <w:vAlign w:val="center"/>
            <w:hideMark/>
          </w:tcPr>
          <w:p w14:paraId="2E09175E" w14:textId="77777777" w:rsidR="006A6D18" w:rsidRPr="006A6D18" w:rsidRDefault="006A6D18" w:rsidP="006A6D18">
            <w:r w:rsidRPr="006A6D18">
              <w:rPr>
                <w:b/>
                <w:bCs/>
              </w:rPr>
              <w:t>Key Growth Technology</w:t>
            </w:r>
          </w:p>
        </w:tc>
      </w:tr>
      <w:tr w:rsidR="006A6D18" w:rsidRPr="006A6D18" w14:paraId="295E9A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DC2863" w14:textId="77777777" w:rsidR="006A6D18" w:rsidRPr="006A6D18" w:rsidRDefault="006A6D18" w:rsidP="006A6D18">
            <w:r w:rsidRPr="006A6D18">
              <w:t>Ontario</w:t>
            </w:r>
          </w:p>
        </w:tc>
        <w:tc>
          <w:tcPr>
            <w:tcW w:w="0" w:type="auto"/>
            <w:tcBorders>
              <w:top w:val="single" w:sz="6" w:space="0" w:color="auto"/>
              <w:left w:val="single" w:sz="6" w:space="0" w:color="auto"/>
              <w:bottom w:val="single" w:sz="6" w:space="0" w:color="auto"/>
              <w:right w:val="single" w:sz="6" w:space="0" w:color="auto"/>
            </w:tcBorders>
            <w:vAlign w:val="center"/>
            <w:hideMark/>
          </w:tcPr>
          <w:p w14:paraId="60064CB5" w14:textId="77777777" w:rsidR="006A6D18" w:rsidRPr="006A6D18" w:rsidRDefault="006A6D18" w:rsidP="006A6D18">
            <w:r w:rsidRPr="006A6D18">
              <w:t>30</w:t>
            </w:r>
          </w:p>
        </w:tc>
        <w:tc>
          <w:tcPr>
            <w:tcW w:w="0" w:type="auto"/>
            <w:tcBorders>
              <w:top w:val="single" w:sz="6" w:space="0" w:color="auto"/>
              <w:left w:val="single" w:sz="6" w:space="0" w:color="auto"/>
              <w:bottom w:val="single" w:sz="6" w:space="0" w:color="auto"/>
              <w:right w:val="single" w:sz="6" w:space="0" w:color="auto"/>
            </w:tcBorders>
            <w:vAlign w:val="center"/>
            <w:hideMark/>
          </w:tcPr>
          <w:p w14:paraId="6CB9A793" w14:textId="77777777" w:rsidR="006A6D18" w:rsidRPr="006A6D18" w:rsidRDefault="006A6D18" w:rsidP="006A6D18">
            <w:r w:rsidRPr="006A6D18">
              <w:t>Solar PV and Wind</w:t>
            </w:r>
          </w:p>
        </w:tc>
      </w:tr>
      <w:tr w:rsidR="006A6D18" w:rsidRPr="006A6D18" w14:paraId="7ACE6C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677F21" w14:textId="77777777" w:rsidR="006A6D18" w:rsidRPr="006A6D18" w:rsidRDefault="006A6D18" w:rsidP="006A6D18">
            <w:r w:rsidRPr="006A6D18">
              <w:t>Quebec</w:t>
            </w:r>
          </w:p>
        </w:tc>
        <w:tc>
          <w:tcPr>
            <w:tcW w:w="0" w:type="auto"/>
            <w:tcBorders>
              <w:top w:val="single" w:sz="6" w:space="0" w:color="auto"/>
              <w:left w:val="single" w:sz="6" w:space="0" w:color="auto"/>
              <w:bottom w:val="single" w:sz="6" w:space="0" w:color="auto"/>
              <w:right w:val="single" w:sz="6" w:space="0" w:color="auto"/>
            </w:tcBorders>
            <w:vAlign w:val="center"/>
            <w:hideMark/>
          </w:tcPr>
          <w:p w14:paraId="7684D7F9" w14:textId="77777777" w:rsidR="006A6D18" w:rsidRPr="006A6D18" w:rsidRDefault="006A6D18" w:rsidP="006A6D18">
            <w:r w:rsidRPr="006A6D18">
              <w:t>23</w:t>
            </w:r>
          </w:p>
        </w:tc>
        <w:tc>
          <w:tcPr>
            <w:tcW w:w="0" w:type="auto"/>
            <w:tcBorders>
              <w:top w:val="single" w:sz="6" w:space="0" w:color="auto"/>
              <w:left w:val="single" w:sz="6" w:space="0" w:color="auto"/>
              <w:bottom w:val="single" w:sz="6" w:space="0" w:color="auto"/>
              <w:right w:val="single" w:sz="6" w:space="0" w:color="auto"/>
            </w:tcBorders>
            <w:vAlign w:val="center"/>
            <w:hideMark/>
          </w:tcPr>
          <w:p w14:paraId="615E5421" w14:textId="77777777" w:rsidR="006A6D18" w:rsidRPr="006A6D18" w:rsidRDefault="006A6D18" w:rsidP="006A6D18">
            <w:r w:rsidRPr="006A6D18">
              <w:t>Large Hydro and Wind</w:t>
            </w:r>
          </w:p>
        </w:tc>
      </w:tr>
      <w:tr w:rsidR="006A6D18" w:rsidRPr="006A6D18" w14:paraId="27E683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2ED7C4" w14:textId="77777777" w:rsidR="006A6D18" w:rsidRPr="006A6D18" w:rsidRDefault="006A6D18" w:rsidP="006A6D18">
            <w:r w:rsidRPr="006A6D18">
              <w:t>Alberta</w:t>
            </w:r>
          </w:p>
        </w:tc>
        <w:tc>
          <w:tcPr>
            <w:tcW w:w="0" w:type="auto"/>
            <w:tcBorders>
              <w:top w:val="single" w:sz="6" w:space="0" w:color="auto"/>
              <w:left w:val="single" w:sz="6" w:space="0" w:color="auto"/>
              <w:bottom w:val="single" w:sz="6" w:space="0" w:color="auto"/>
              <w:right w:val="single" w:sz="6" w:space="0" w:color="auto"/>
            </w:tcBorders>
            <w:vAlign w:val="center"/>
            <w:hideMark/>
          </w:tcPr>
          <w:p w14:paraId="0C186820" w14:textId="77777777" w:rsidR="006A6D18" w:rsidRPr="006A6D18" w:rsidRDefault="006A6D18" w:rsidP="006A6D18">
            <w:r w:rsidRPr="006A6D18">
              <w:t>18</w:t>
            </w:r>
          </w:p>
        </w:tc>
        <w:tc>
          <w:tcPr>
            <w:tcW w:w="0" w:type="auto"/>
            <w:tcBorders>
              <w:top w:val="single" w:sz="6" w:space="0" w:color="auto"/>
              <w:left w:val="single" w:sz="6" w:space="0" w:color="auto"/>
              <w:bottom w:val="single" w:sz="6" w:space="0" w:color="auto"/>
              <w:right w:val="single" w:sz="6" w:space="0" w:color="auto"/>
            </w:tcBorders>
            <w:vAlign w:val="center"/>
            <w:hideMark/>
          </w:tcPr>
          <w:p w14:paraId="1F5F5903" w14:textId="77777777" w:rsidR="006A6D18" w:rsidRPr="006A6D18" w:rsidRDefault="006A6D18" w:rsidP="006A6D18">
            <w:r w:rsidRPr="006A6D18">
              <w:t>Wind and Solar PV</w:t>
            </w:r>
          </w:p>
        </w:tc>
      </w:tr>
      <w:tr w:rsidR="006A6D18" w:rsidRPr="006A6D18" w14:paraId="65EC56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446E28" w14:textId="77777777" w:rsidR="006A6D18" w:rsidRPr="006A6D18" w:rsidRDefault="006A6D18" w:rsidP="006A6D18">
            <w:r w:rsidRPr="006A6D18">
              <w:t>British Columbia</w:t>
            </w:r>
          </w:p>
        </w:tc>
        <w:tc>
          <w:tcPr>
            <w:tcW w:w="0" w:type="auto"/>
            <w:tcBorders>
              <w:top w:val="single" w:sz="6" w:space="0" w:color="auto"/>
              <w:left w:val="single" w:sz="6" w:space="0" w:color="auto"/>
              <w:bottom w:val="single" w:sz="6" w:space="0" w:color="auto"/>
              <w:right w:val="single" w:sz="6" w:space="0" w:color="auto"/>
            </w:tcBorders>
            <w:vAlign w:val="center"/>
            <w:hideMark/>
          </w:tcPr>
          <w:p w14:paraId="4942CF92" w14:textId="77777777" w:rsidR="006A6D18" w:rsidRPr="006A6D18" w:rsidRDefault="006A6D18" w:rsidP="006A6D18">
            <w:r w:rsidRPr="006A6D18">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2321E21E" w14:textId="77777777" w:rsidR="006A6D18" w:rsidRPr="006A6D18" w:rsidRDefault="006A6D18" w:rsidP="006A6D18">
            <w:r w:rsidRPr="006A6D18">
              <w:t>Hydro (Site C)</w:t>
            </w:r>
          </w:p>
        </w:tc>
      </w:tr>
      <w:tr w:rsidR="006A6D18" w:rsidRPr="006A6D18" w14:paraId="37AD61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C77EB3" w14:textId="77777777" w:rsidR="006A6D18" w:rsidRPr="006A6D18" w:rsidRDefault="006A6D18" w:rsidP="006A6D18">
            <w:r w:rsidRPr="006A6D18">
              <w:t>Rest of Canada</w:t>
            </w:r>
          </w:p>
        </w:tc>
        <w:tc>
          <w:tcPr>
            <w:tcW w:w="0" w:type="auto"/>
            <w:tcBorders>
              <w:top w:val="single" w:sz="6" w:space="0" w:color="auto"/>
              <w:left w:val="single" w:sz="6" w:space="0" w:color="auto"/>
              <w:bottom w:val="single" w:sz="6" w:space="0" w:color="auto"/>
              <w:right w:val="single" w:sz="6" w:space="0" w:color="auto"/>
            </w:tcBorders>
            <w:vAlign w:val="center"/>
            <w:hideMark/>
          </w:tcPr>
          <w:p w14:paraId="1E54792A" w14:textId="77777777" w:rsidR="006A6D18" w:rsidRPr="006A6D18" w:rsidRDefault="006A6D18" w:rsidP="006A6D18">
            <w:r w:rsidRPr="006A6D18">
              <w:t>19</w:t>
            </w:r>
          </w:p>
        </w:tc>
        <w:tc>
          <w:tcPr>
            <w:tcW w:w="0" w:type="auto"/>
            <w:tcBorders>
              <w:top w:val="single" w:sz="6" w:space="0" w:color="auto"/>
              <w:left w:val="single" w:sz="6" w:space="0" w:color="auto"/>
              <w:bottom w:val="single" w:sz="6" w:space="0" w:color="auto"/>
              <w:right w:val="single" w:sz="6" w:space="0" w:color="auto"/>
            </w:tcBorders>
            <w:vAlign w:val="center"/>
            <w:hideMark/>
          </w:tcPr>
          <w:p w14:paraId="29B8F575" w14:textId="77777777" w:rsidR="006A6D18" w:rsidRPr="006A6D18" w:rsidRDefault="006A6D18" w:rsidP="006A6D18">
            <w:r w:rsidRPr="006A6D18">
              <w:t>Mixed Renewables</w:t>
            </w:r>
          </w:p>
        </w:tc>
      </w:tr>
    </w:tbl>
    <w:p w14:paraId="11953AF9" w14:textId="77777777" w:rsidR="006A6D18" w:rsidRPr="006A6D18" w:rsidRDefault="006A6D18" w:rsidP="006A6D18">
      <w:r w:rsidRPr="006A6D18">
        <w:t>Table 1: Regional Distribution of Canadian Renewable Capacity Additions.</w:t>
      </w:r>
    </w:p>
    <w:p w14:paraId="250412F0" w14:textId="77777777" w:rsidR="006A6D18" w:rsidRPr="006A6D18" w:rsidRDefault="006A6D18" w:rsidP="006A6D18">
      <w:r w:rsidRPr="006A6D18">
        <w:t>The shift in Canada is not merely about adding capacity but also about managing end-use demand. Currently, renewable energy meets approximately one-sixth (17.3%) of Canada's total energy supply (TES), while hydrocarbons like natural gas and oil still dominate at 39.1% and 32.7%, respectively. For Canada to reach its net-zero goals, electricity must become the largest energy type in the mix, potentially accounting for 35% of total demand by 2050.</w:t>
      </w:r>
    </w:p>
    <w:p w14:paraId="285748AC" w14:textId="77777777" w:rsidR="006A6D18" w:rsidRPr="006A6D18" w:rsidRDefault="006A6D18" w:rsidP="006A6D18">
      <w:pPr>
        <w:rPr>
          <w:b/>
          <w:bCs/>
        </w:rPr>
      </w:pPr>
      <w:r w:rsidRPr="006A6D18">
        <w:rPr>
          <w:b/>
          <w:bCs/>
        </w:rPr>
        <w:t>United States Utility-Scale Expansion</w:t>
      </w:r>
    </w:p>
    <w:p w14:paraId="378BACE7" w14:textId="77777777" w:rsidR="006A6D18" w:rsidRPr="006A6D18" w:rsidRDefault="006A6D18" w:rsidP="006A6D18">
      <w:r w:rsidRPr="006A6D18">
        <w:t>In the United States, 2026 is projected to be a record-breaking year for electric generating capacity, with developers planning to add 86 GW to the grid. Solar power is the primary driver of this expansion, accounting for 51% of all planned additions, followed by battery storage at 28% and wind at 14%. This massive influx of solar—totaling 43.4 GW in 2026 alone—represents a 60% increase over 2025 levels. This growth is concentrated in four states: Texas, Arizona, California, and Michigan, which together account for more than half of the new solar capacity.</w:t>
      </w:r>
    </w:p>
    <w:p w14:paraId="0474D929" w14:textId="77777777" w:rsidR="006A6D18" w:rsidRPr="006A6D18" w:rsidRDefault="006A6D18" w:rsidP="006A6D18">
      <w:r w:rsidRPr="006A6D18">
        <w:t xml:space="preserve">Wind power, which generated a record 10.3% of U.S. electricity in 2025, is also expected to see a significant rise in 2026, with 11.8 GW of new capacity planned—more than double the amount added in 2025. This includes massive onshore projects like the 3,650-MW </w:t>
      </w:r>
      <w:proofErr w:type="spellStart"/>
      <w:r w:rsidRPr="006A6D18">
        <w:t>SunZia</w:t>
      </w:r>
      <w:proofErr w:type="spellEnd"/>
      <w:r w:rsidRPr="006A6D18">
        <w:t xml:space="preserve"> Wind project in New Mexico and the long-delayed offshore Vineyard Wind 1 and Revolution Wind plants. The combined contribution of wind and solar has already eclipsed both coal and nuclear power in terms of total generation in 2025, reaching 19% of the national total.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8"/>
        <w:gridCol w:w="2633"/>
        <w:gridCol w:w="2443"/>
        <w:gridCol w:w="2500"/>
      </w:tblGrid>
      <w:tr w:rsidR="006A6D18" w:rsidRPr="006A6D18" w14:paraId="6AB14FD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BBB910" w14:textId="77777777" w:rsidR="006A6D18" w:rsidRPr="006A6D18" w:rsidRDefault="006A6D18" w:rsidP="006A6D18">
            <w:r w:rsidRPr="006A6D18">
              <w:rPr>
                <w:b/>
                <w:bCs/>
              </w:rPr>
              <w:t>Energy Source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9B75302" w14:textId="77777777" w:rsidR="006A6D18" w:rsidRPr="006A6D18" w:rsidRDefault="006A6D18" w:rsidP="006A6D18">
            <w:r w:rsidRPr="006A6D18">
              <w:rPr>
                <w:b/>
                <w:bCs/>
              </w:rPr>
              <w:t>Planned 2026 Capacity (GW)</w:t>
            </w:r>
          </w:p>
        </w:tc>
        <w:tc>
          <w:tcPr>
            <w:tcW w:w="0" w:type="auto"/>
            <w:tcBorders>
              <w:top w:val="single" w:sz="6" w:space="0" w:color="auto"/>
              <w:left w:val="single" w:sz="6" w:space="0" w:color="auto"/>
              <w:bottom w:val="single" w:sz="6" w:space="0" w:color="auto"/>
              <w:right w:val="single" w:sz="6" w:space="0" w:color="auto"/>
            </w:tcBorders>
            <w:vAlign w:val="center"/>
            <w:hideMark/>
          </w:tcPr>
          <w:p w14:paraId="38F85668" w14:textId="77777777" w:rsidR="006A6D18" w:rsidRPr="006A6D18" w:rsidRDefault="006A6D18" w:rsidP="006A6D18">
            <w:r w:rsidRPr="006A6D18">
              <w:rPr>
                <w:b/>
                <w:bCs/>
              </w:rPr>
              <w:t>Share of New Capacity (%)</w:t>
            </w:r>
          </w:p>
        </w:tc>
        <w:tc>
          <w:tcPr>
            <w:tcW w:w="0" w:type="auto"/>
            <w:tcBorders>
              <w:top w:val="single" w:sz="6" w:space="0" w:color="auto"/>
              <w:left w:val="single" w:sz="6" w:space="0" w:color="auto"/>
              <w:bottom w:val="single" w:sz="6" w:space="0" w:color="auto"/>
              <w:right w:val="single" w:sz="6" w:space="0" w:color="auto"/>
            </w:tcBorders>
            <w:vAlign w:val="center"/>
            <w:hideMark/>
          </w:tcPr>
          <w:p w14:paraId="2A17B617" w14:textId="77777777" w:rsidR="006A6D18" w:rsidRPr="006A6D18" w:rsidRDefault="006A6D18" w:rsidP="006A6D18">
            <w:r w:rsidRPr="006A6D18">
              <w:rPr>
                <w:b/>
                <w:bCs/>
              </w:rPr>
              <w:t>2025 Generation Share (%)</w:t>
            </w:r>
          </w:p>
        </w:tc>
      </w:tr>
      <w:tr w:rsidR="006A6D18" w:rsidRPr="006A6D18" w14:paraId="40F7FE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4FFF5C" w14:textId="77777777" w:rsidR="006A6D18" w:rsidRPr="006A6D18" w:rsidRDefault="006A6D18" w:rsidP="006A6D18">
            <w:r w:rsidRPr="006A6D18">
              <w:t>Solar (Utility-Scale)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B043E9F" w14:textId="77777777" w:rsidR="006A6D18" w:rsidRPr="006A6D18" w:rsidRDefault="006A6D18" w:rsidP="006A6D18">
            <w:r w:rsidRPr="006A6D18">
              <w:t>43.4</w:t>
            </w:r>
          </w:p>
        </w:tc>
        <w:tc>
          <w:tcPr>
            <w:tcW w:w="0" w:type="auto"/>
            <w:tcBorders>
              <w:top w:val="single" w:sz="6" w:space="0" w:color="auto"/>
              <w:left w:val="single" w:sz="6" w:space="0" w:color="auto"/>
              <w:bottom w:val="single" w:sz="6" w:space="0" w:color="auto"/>
              <w:right w:val="single" w:sz="6" w:space="0" w:color="auto"/>
            </w:tcBorders>
            <w:vAlign w:val="center"/>
            <w:hideMark/>
          </w:tcPr>
          <w:p w14:paraId="5CE31734" w14:textId="77777777" w:rsidR="006A6D18" w:rsidRPr="006A6D18" w:rsidRDefault="006A6D18" w:rsidP="006A6D18">
            <w:r w:rsidRPr="006A6D18">
              <w:t>51</w:t>
            </w:r>
          </w:p>
        </w:tc>
        <w:tc>
          <w:tcPr>
            <w:tcW w:w="0" w:type="auto"/>
            <w:tcBorders>
              <w:top w:val="single" w:sz="6" w:space="0" w:color="auto"/>
              <w:left w:val="single" w:sz="6" w:space="0" w:color="auto"/>
              <w:bottom w:val="single" w:sz="6" w:space="0" w:color="auto"/>
              <w:right w:val="single" w:sz="6" w:space="0" w:color="auto"/>
            </w:tcBorders>
            <w:vAlign w:val="center"/>
            <w:hideMark/>
          </w:tcPr>
          <w:p w14:paraId="0EFDFDA3" w14:textId="77777777" w:rsidR="006A6D18" w:rsidRPr="006A6D18" w:rsidRDefault="006A6D18" w:rsidP="006A6D18">
            <w:r w:rsidRPr="006A6D18">
              <w:t>9.0 (including small-scale)</w:t>
            </w:r>
          </w:p>
        </w:tc>
      </w:tr>
      <w:tr w:rsidR="006A6D18" w:rsidRPr="006A6D18" w14:paraId="6C4AED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E0D0C3" w14:textId="77777777" w:rsidR="006A6D18" w:rsidRPr="006A6D18" w:rsidRDefault="006A6D18" w:rsidP="006A6D18">
            <w:r w:rsidRPr="006A6D18">
              <w:lastRenderedPageBreak/>
              <w:t>Battery Storage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3FB58C93" w14:textId="77777777" w:rsidR="006A6D18" w:rsidRPr="006A6D18" w:rsidRDefault="006A6D18" w:rsidP="006A6D18">
            <w:r w:rsidRPr="006A6D18">
              <w:t>24.0</w:t>
            </w:r>
          </w:p>
        </w:tc>
        <w:tc>
          <w:tcPr>
            <w:tcW w:w="0" w:type="auto"/>
            <w:tcBorders>
              <w:top w:val="single" w:sz="6" w:space="0" w:color="auto"/>
              <w:left w:val="single" w:sz="6" w:space="0" w:color="auto"/>
              <w:bottom w:val="single" w:sz="6" w:space="0" w:color="auto"/>
              <w:right w:val="single" w:sz="6" w:space="0" w:color="auto"/>
            </w:tcBorders>
            <w:vAlign w:val="center"/>
            <w:hideMark/>
          </w:tcPr>
          <w:p w14:paraId="32DEC509" w14:textId="77777777" w:rsidR="006A6D18" w:rsidRPr="006A6D18" w:rsidRDefault="006A6D18" w:rsidP="006A6D18">
            <w:r w:rsidRPr="006A6D18">
              <w:t>28</w:t>
            </w:r>
          </w:p>
        </w:tc>
        <w:tc>
          <w:tcPr>
            <w:tcW w:w="0" w:type="auto"/>
            <w:tcBorders>
              <w:top w:val="single" w:sz="6" w:space="0" w:color="auto"/>
              <w:left w:val="single" w:sz="6" w:space="0" w:color="auto"/>
              <w:bottom w:val="single" w:sz="6" w:space="0" w:color="auto"/>
              <w:right w:val="single" w:sz="6" w:space="0" w:color="auto"/>
            </w:tcBorders>
            <w:vAlign w:val="center"/>
            <w:hideMark/>
          </w:tcPr>
          <w:p w14:paraId="2739B7BF" w14:textId="77777777" w:rsidR="006A6D18" w:rsidRPr="006A6D18" w:rsidRDefault="006A6D18" w:rsidP="006A6D18">
            <w:r w:rsidRPr="006A6D18">
              <w:t>N/A</w:t>
            </w:r>
          </w:p>
        </w:tc>
      </w:tr>
      <w:tr w:rsidR="006A6D18" w:rsidRPr="006A6D18" w14:paraId="4DFA15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79F2E7" w14:textId="77777777" w:rsidR="006A6D18" w:rsidRPr="006A6D18" w:rsidRDefault="006A6D18" w:rsidP="006A6D18">
            <w:r w:rsidRPr="006A6D18">
              <w:t>Wind</w:t>
            </w:r>
          </w:p>
        </w:tc>
        <w:tc>
          <w:tcPr>
            <w:tcW w:w="0" w:type="auto"/>
            <w:tcBorders>
              <w:top w:val="single" w:sz="6" w:space="0" w:color="auto"/>
              <w:left w:val="single" w:sz="6" w:space="0" w:color="auto"/>
              <w:bottom w:val="single" w:sz="6" w:space="0" w:color="auto"/>
              <w:right w:val="single" w:sz="6" w:space="0" w:color="auto"/>
            </w:tcBorders>
            <w:vAlign w:val="center"/>
            <w:hideMark/>
          </w:tcPr>
          <w:p w14:paraId="0E683EB2" w14:textId="77777777" w:rsidR="006A6D18" w:rsidRPr="006A6D18" w:rsidRDefault="006A6D18" w:rsidP="006A6D18">
            <w:r w:rsidRPr="006A6D18">
              <w:t>11.8</w:t>
            </w:r>
          </w:p>
        </w:tc>
        <w:tc>
          <w:tcPr>
            <w:tcW w:w="0" w:type="auto"/>
            <w:tcBorders>
              <w:top w:val="single" w:sz="6" w:space="0" w:color="auto"/>
              <w:left w:val="single" w:sz="6" w:space="0" w:color="auto"/>
              <w:bottom w:val="single" w:sz="6" w:space="0" w:color="auto"/>
              <w:right w:val="single" w:sz="6" w:space="0" w:color="auto"/>
            </w:tcBorders>
            <w:vAlign w:val="center"/>
            <w:hideMark/>
          </w:tcPr>
          <w:p w14:paraId="5039DDAC" w14:textId="77777777" w:rsidR="006A6D18" w:rsidRPr="006A6D18" w:rsidRDefault="006A6D18" w:rsidP="006A6D18">
            <w:r w:rsidRPr="006A6D18">
              <w:t>14</w:t>
            </w:r>
          </w:p>
        </w:tc>
        <w:tc>
          <w:tcPr>
            <w:tcW w:w="0" w:type="auto"/>
            <w:tcBorders>
              <w:top w:val="single" w:sz="6" w:space="0" w:color="auto"/>
              <w:left w:val="single" w:sz="6" w:space="0" w:color="auto"/>
              <w:bottom w:val="single" w:sz="6" w:space="0" w:color="auto"/>
              <w:right w:val="single" w:sz="6" w:space="0" w:color="auto"/>
            </w:tcBorders>
            <w:vAlign w:val="center"/>
            <w:hideMark/>
          </w:tcPr>
          <w:p w14:paraId="56F9F35D" w14:textId="77777777" w:rsidR="006A6D18" w:rsidRPr="006A6D18" w:rsidRDefault="006A6D18" w:rsidP="006A6D18">
            <w:r w:rsidRPr="006A6D18">
              <w:t>10.3</w:t>
            </w:r>
          </w:p>
        </w:tc>
      </w:tr>
      <w:tr w:rsidR="006A6D18" w:rsidRPr="006A6D18" w14:paraId="00C9D6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177365" w14:textId="77777777" w:rsidR="006A6D18" w:rsidRPr="006A6D18" w:rsidRDefault="006A6D18" w:rsidP="006A6D18">
            <w:r w:rsidRPr="006A6D18">
              <w:t>Natural Gas</w:t>
            </w:r>
          </w:p>
        </w:tc>
        <w:tc>
          <w:tcPr>
            <w:tcW w:w="0" w:type="auto"/>
            <w:tcBorders>
              <w:top w:val="single" w:sz="6" w:space="0" w:color="auto"/>
              <w:left w:val="single" w:sz="6" w:space="0" w:color="auto"/>
              <w:bottom w:val="single" w:sz="6" w:space="0" w:color="auto"/>
              <w:right w:val="single" w:sz="6" w:space="0" w:color="auto"/>
            </w:tcBorders>
            <w:vAlign w:val="center"/>
            <w:hideMark/>
          </w:tcPr>
          <w:p w14:paraId="34B29D65" w14:textId="77777777" w:rsidR="006A6D18" w:rsidRPr="006A6D18" w:rsidRDefault="006A6D18" w:rsidP="006A6D18">
            <w:r w:rsidRPr="006A6D18">
              <w:t>6.3</w:t>
            </w:r>
          </w:p>
        </w:tc>
        <w:tc>
          <w:tcPr>
            <w:tcW w:w="0" w:type="auto"/>
            <w:tcBorders>
              <w:top w:val="single" w:sz="6" w:space="0" w:color="auto"/>
              <w:left w:val="single" w:sz="6" w:space="0" w:color="auto"/>
              <w:bottom w:val="single" w:sz="6" w:space="0" w:color="auto"/>
              <w:right w:val="single" w:sz="6" w:space="0" w:color="auto"/>
            </w:tcBorders>
            <w:vAlign w:val="center"/>
            <w:hideMark/>
          </w:tcPr>
          <w:p w14:paraId="434CEBE8" w14:textId="77777777" w:rsidR="006A6D18" w:rsidRPr="006A6D18" w:rsidRDefault="006A6D18" w:rsidP="006A6D18">
            <w:r w:rsidRPr="006A6D18">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7902F04E" w14:textId="77777777" w:rsidR="006A6D18" w:rsidRPr="006A6D18" w:rsidRDefault="006A6D18" w:rsidP="006A6D18">
            <w:r w:rsidRPr="006A6D18">
              <w:t>40.0</w:t>
            </w:r>
          </w:p>
        </w:tc>
      </w:tr>
      <w:tr w:rsidR="006A6D18" w:rsidRPr="006A6D18" w14:paraId="57BBB6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2571FC" w14:textId="77777777" w:rsidR="006A6D18" w:rsidRPr="006A6D18" w:rsidRDefault="006A6D18" w:rsidP="006A6D18">
            <w:r w:rsidRPr="006A6D18">
              <w:t>Nuclear</w:t>
            </w:r>
          </w:p>
        </w:tc>
        <w:tc>
          <w:tcPr>
            <w:tcW w:w="0" w:type="auto"/>
            <w:tcBorders>
              <w:top w:val="single" w:sz="6" w:space="0" w:color="auto"/>
              <w:left w:val="single" w:sz="6" w:space="0" w:color="auto"/>
              <w:bottom w:val="single" w:sz="6" w:space="0" w:color="auto"/>
              <w:right w:val="single" w:sz="6" w:space="0" w:color="auto"/>
            </w:tcBorders>
            <w:vAlign w:val="center"/>
            <w:hideMark/>
          </w:tcPr>
          <w:p w14:paraId="6992B267" w14:textId="77777777" w:rsidR="006A6D18" w:rsidRPr="006A6D18" w:rsidRDefault="006A6D18" w:rsidP="006A6D18">
            <w:r w:rsidRPr="006A6D18">
              <w:t>&lt;0.1</w:t>
            </w:r>
          </w:p>
        </w:tc>
        <w:tc>
          <w:tcPr>
            <w:tcW w:w="0" w:type="auto"/>
            <w:tcBorders>
              <w:top w:val="single" w:sz="6" w:space="0" w:color="auto"/>
              <w:left w:val="single" w:sz="6" w:space="0" w:color="auto"/>
              <w:bottom w:val="single" w:sz="6" w:space="0" w:color="auto"/>
              <w:right w:val="single" w:sz="6" w:space="0" w:color="auto"/>
            </w:tcBorders>
            <w:vAlign w:val="center"/>
            <w:hideMark/>
          </w:tcPr>
          <w:p w14:paraId="3BD30743" w14:textId="77777777" w:rsidR="006A6D18" w:rsidRPr="006A6D18" w:rsidRDefault="006A6D18" w:rsidP="006A6D18">
            <w:r w:rsidRPr="006A6D18">
              <w:t>&lt;1</w:t>
            </w:r>
          </w:p>
        </w:tc>
        <w:tc>
          <w:tcPr>
            <w:tcW w:w="0" w:type="auto"/>
            <w:tcBorders>
              <w:top w:val="single" w:sz="6" w:space="0" w:color="auto"/>
              <w:left w:val="single" w:sz="6" w:space="0" w:color="auto"/>
              <w:bottom w:val="single" w:sz="6" w:space="0" w:color="auto"/>
              <w:right w:val="single" w:sz="6" w:space="0" w:color="auto"/>
            </w:tcBorders>
            <w:vAlign w:val="center"/>
            <w:hideMark/>
          </w:tcPr>
          <w:p w14:paraId="29CA7A1F" w14:textId="77777777" w:rsidR="006A6D18" w:rsidRPr="006A6D18" w:rsidRDefault="006A6D18" w:rsidP="006A6D18">
            <w:r w:rsidRPr="006A6D18">
              <w:t>18.0</w:t>
            </w:r>
          </w:p>
        </w:tc>
      </w:tr>
    </w:tbl>
    <w:p w14:paraId="57553207" w14:textId="77777777" w:rsidR="006A6D18" w:rsidRPr="006A6D18" w:rsidRDefault="006A6D18" w:rsidP="006A6D18">
      <w:r w:rsidRPr="006A6D18">
        <w:t>Table 2: United States Power Generation and Capacity Projections.</w:t>
      </w:r>
    </w:p>
    <w:p w14:paraId="7A6D1519" w14:textId="77777777" w:rsidR="006A6D18" w:rsidRPr="006A6D18" w:rsidRDefault="006A6D18" w:rsidP="006A6D18">
      <w:r w:rsidRPr="006A6D18">
        <w:t>The integration of these variable sources is increasingly managed through battery energy storage systems (BESS). U.S. battery capacity has grown exponentially, with 40 GW added over the last five years. In 2026, developers plan to add 24 GW of battery storage, with Texas leading the deployment at 53% of the national total. This storage is essential for smoothing the "duck curve" associated with high solar penetration, ensuring that excess energy generated during peak daylight hours is available for the evening ramp-up in demand.</w:t>
      </w:r>
    </w:p>
    <w:p w14:paraId="45CF6920" w14:textId="77777777" w:rsidR="006A6D18" w:rsidRPr="006A6D18" w:rsidRDefault="006A6D18" w:rsidP="006A6D18">
      <w:pPr>
        <w:rPr>
          <w:b/>
          <w:bCs/>
        </w:rPr>
      </w:pPr>
      <w:r w:rsidRPr="006A6D18">
        <w:rPr>
          <w:b/>
          <w:bCs/>
        </w:rPr>
        <w:t>Carbon Capture and Storage: Technical Mechanisms and Industrial Hubs</w:t>
      </w:r>
    </w:p>
    <w:p w14:paraId="4100D302" w14:textId="77777777" w:rsidR="006A6D18" w:rsidRPr="006A6D18" w:rsidRDefault="006A6D18" w:rsidP="006A6D18">
      <w:r w:rsidRPr="006A6D18">
        <w:t>Carbon Capture and Storage (CCS) technology has transitioned from a theoretical decarbonization strategy to a cornerstone of North American industrial policy. As sectors such as oil sands, cement, and chemical manufacturing face increasing pressure to reduce their greenhouse gas (GHG) footprints, CCS provides a pathway to maintain industrial activity while sequestering emissions deep underground. Canada, specifically the province of Alberta, and the United States lead the world in operational CCS capacity, utilizing deep saline aquifers and depleted oil reservoirs for permanent storage.</w:t>
      </w:r>
    </w:p>
    <w:p w14:paraId="57ABBA28" w14:textId="77777777" w:rsidR="006A6D18" w:rsidRPr="006A6D18" w:rsidRDefault="006A6D18" w:rsidP="006A6D18">
      <w:pPr>
        <w:rPr>
          <w:b/>
          <w:bCs/>
        </w:rPr>
      </w:pPr>
      <w:r w:rsidRPr="006A6D18">
        <w:rPr>
          <w:b/>
          <w:bCs/>
        </w:rPr>
        <w:t>The Technical Chain of Carbon Management</w:t>
      </w:r>
    </w:p>
    <w:p w14:paraId="721186D7" w14:textId="77777777" w:rsidR="006A6D18" w:rsidRPr="006A6D18" w:rsidRDefault="006A6D18" w:rsidP="006A6D18">
      <w:r w:rsidRPr="006A6D18">
        <w:t>The CCS process involves three distinct technological phases: capture, transport, and sequestration. Each phase requires specific engineering solutions tailored to the concentration of $CO</w:t>
      </w:r>
      <w:proofErr w:type="gramStart"/>
      <w:r w:rsidRPr="006A6D18">
        <w:t>_{2}$</w:t>
      </w:r>
      <w:proofErr w:type="gramEnd"/>
      <w:r w:rsidRPr="006A6D18">
        <w:t xml:space="preserve"> in the emission source and the geologic characteristics of the storage site.</w:t>
      </w:r>
    </w:p>
    <w:p w14:paraId="256EDF0B" w14:textId="77777777" w:rsidR="006A6D18" w:rsidRPr="006A6D18" w:rsidRDefault="006A6D18" w:rsidP="006A6D18">
      <w:r w:rsidRPr="006A6D18">
        <w:t>Capture technologies are primarily categorized by their placement in the industrial cycle:</w:t>
      </w:r>
    </w:p>
    <w:p w14:paraId="296F6311" w14:textId="77777777" w:rsidR="006A6D18" w:rsidRPr="006A6D18" w:rsidRDefault="006A6D18" w:rsidP="006A6D18">
      <w:pPr>
        <w:numPr>
          <w:ilvl w:val="0"/>
          <w:numId w:val="1"/>
        </w:numPr>
      </w:pPr>
      <w:r w:rsidRPr="006A6D18">
        <w:rPr>
          <w:b/>
          <w:bCs/>
        </w:rPr>
        <w:t>Post-Combustion Capture:</w:t>
      </w:r>
      <w:r w:rsidRPr="006A6D18">
        <w:t xml:space="preserve"> This is the most common method for retrofitting existing facilities. $CO</w:t>
      </w:r>
      <w:proofErr w:type="gramStart"/>
      <w:r w:rsidRPr="006A6D18">
        <w:t>_{2}$</w:t>
      </w:r>
      <w:proofErr w:type="gramEnd"/>
      <w:r w:rsidRPr="006A6D18">
        <w:t xml:space="preserve"> is separated from the flue gas after the fuel is burned, typically using chemical solvents like amines in absorption towers.</w:t>
      </w:r>
    </w:p>
    <w:p w14:paraId="31385440" w14:textId="77777777" w:rsidR="006A6D18" w:rsidRPr="006A6D18" w:rsidRDefault="006A6D18" w:rsidP="006A6D18">
      <w:pPr>
        <w:numPr>
          <w:ilvl w:val="0"/>
          <w:numId w:val="1"/>
        </w:numPr>
      </w:pPr>
      <w:r w:rsidRPr="006A6D18">
        <w:rPr>
          <w:b/>
          <w:bCs/>
        </w:rPr>
        <w:t>Pre-Combustion Capture:</w:t>
      </w:r>
      <w:r w:rsidRPr="006A6D18">
        <w:t xml:space="preserve"> Common in hydrogen and ammonia production, the fuel is partially oxidized to create a mixture of hydrogen and $CO</w:t>
      </w:r>
      <w:proofErr w:type="gramStart"/>
      <w:r w:rsidRPr="006A6D18">
        <w:t>_{2}$</w:t>
      </w:r>
      <w:proofErr w:type="gramEnd"/>
      <w:r w:rsidRPr="006A6D18">
        <w:t>. The $CO</w:t>
      </w:r>
      <w:proofErr w:type="gramStart"/>
      <w:r w:rsidRPr="006A6D18">
        <w:t>_{2}$</w:t>
      </w:r>
      <w:proofErr w:type="gramEnd"/>
      <w:r w:rsidRPr="006A6D18">
        <w:t xml:space="preserve"> is removed before combustion, leaving hydrogen as a clean-burning fuel.</w:t>
      </w:r>
    </w:p>
    <w:p w14:paraId="5904E341" w14:textId="77777777" w:rsidR="006A6D18" w:rsidRPr="006A6D18" w:rsidRDefault="006A6D18" w:rsidP="006A6D18">
      <w:pPr>
        <w:numPr>
          <w:ilvl w:val="0"/>
          <w:numId w:val="1"/>
        </w:numPr>
      </w:pPr>
      <w:r w:rsidRPr="006A6D18">
        <w:rPr>
          <w:b/>
          <w:bCs/>
        </w:rPr>
        <w:t>Oxy-Fuel Combustion:</w:t>
      </w:r>
      <w:r w:rsidRPr="006A6D18">
        <w:t xml:space="preserve"> The fuel is burned in pure oxygen rather than ambient air, resulting in an exhaust stream consisting almost entirely of $CO</w:t>
      </w:r>
      <w:proofErr w:type="gramStart"/>
      <w:r w:rsidRPr="006A6D18">
        <w:t>_{2}$</w:t>
      </w:r>
      <w:proofErr w:type="gramEnd"/>
      <w:r w:rsidRPr="006A6D18">
        <w:t xml:space="preserve"> and water vapor, which are easily separated through condensation.</w:t>
      </w:r>
    </w:p>
    <w:p w14:paraId="2B8F23CF" w14:textId="77777777" w:rsidR="006A6D18" w:rsidRPr="006A6D18" w:rsidRDefault="006A6D18" w:rsidP="006A6D18">
      <w:r w:rsidRPr="006A6D18">
        <w:lastRenderedPageBreak/>
        <w:t>Once captured, $CO</w:t>
      </w:r>
      <w:proofErr w:type="gramStart"/>
      <w:r w:rsidRPr="006A6D18">
        <w:t>_{2}$</w:t>
      </w:r>
      <w:proofErr w:type="gramEnd"/>
      <w:r w:rsidRPr="006A6D18">
        <w:t xml:space="preserve"> is compressed into a supercritical fluid—a state where it possesses the density of a liquid but the viscosity of a gas—allowing for efficient transport through pipelines. Sequestration then occurs in geologic formations such as the Basal Cambrian Sands in Alberta, where $CO</w:t>
      </w:r>
      <w:proofErr w:type="gramStart"/>
      <w:r w:rsidRPr="006A6D18">
        <w:t>_{2}$</w:t>
      </w:r>
      <w:proofErr w:type="gramEnd"/>
      <w:r w:rsidRPr="006A6D18">
        <w:t xml:space="preserve"> is injected over two kilometers underground, trapped beneath impermeable cap rock layers.</w:t>
      </w:r>
    </w:p>
    <w:p w14:paraId="2D5D84F5" w14:textId="77777777" w:rsidR="006A6D18" w:rsidRPr="006A6D18" w:rsidRDefault="006A6D18" w:rsidP="006A6D18">
      <w:pPr>
        <w:rPr>
          <w:b/>
          <w:bCs/>
        </w:rPr>
      </w:pPr>
      <w:r w:rsidRPr="006A6D18">
        <w:rPr>
          <w:b/>
          <w:bCs/>
        </w:rPr>
        <w:t>Flagship Projects and Industrial Hubs in Canada</w:t>
      </w:r>
    </w:p>
    <w:p w14:paraId="77C26CCA" w14:textId="77777777" w:rsidR="006A6D18" w:rsidRPr="006A6D18" w:rsidRDefault="006A6D18" w:rsidP="006A6D18">
      <w:r w:rsidRPr="006A6D18">
        <w:t>Canada’s CCS leadership is centered in Alberta, where projects like Quest have demonstrated the viability of large-scale sequestration. Operated by Shell on behalf of the Athabasca Oil Sands Project, Quest has captured and stored more than nine million tonnes of $CO</w:t>
      </w:r>
      <w:proofErr w:type="gramStart"/>
      <w:r w:rsidRPr="006A6D18">
        <w:t>_{2}$</w:t>
      </w:r>
      <w:proofErr w:type="gramEnd"/>
      <w:r w:rsidRPr="006A6D18">
        <w:t xml:space="preserve"> from hydrogen production since 2015. The success of Quest has informed the development of the Polaris project, which recently received a Final Investment Decision (FID) to capture 650,000 tonnes of $CO</w:t>
      </w:r>
      <w:proofErr w:type="gramStart"/>
      <w:r w:rsidRPr="006A6D18">
        <w:t>_{2}$</w:t>
      </w:r>
      <w:proofErr w:type="gramEnd"/>
      <w:r w:rsidRPr="006A6D18">
        <w:t xml:space="preserve"> annually from the Scotford refinery and chemicals complex.</w:t>
      </w:r>
    </w:p>
    <w:p w14:paraId="78D46DA7" w14:textId="77777777" w:rsidR="006A6D18" w:rsidRPr="006A6D18" w:rsidRDefault="006A6D18" w:rsidP="006A6D18">
      <w:r w:rsidRPr="006A6D18">
        <w:t xml:space="preserve">A significant trend in Canadian CCS is the move toward shared infrastructure hubs. The Atlas Carbon Storage Hub, a partnership between Shell and ATCO </w:t>
      </w:r>
      <w:proofErr w:type="spellStart"/>
      <w:r w:rsidRPr="006A6D18">
        <w:t>EnPower</w:t>
      </w:r>
      <w:proofErr w:type="spellEnd"/>
      <w:r w:rsidRPr="006A6D18">
        <w:t>, will provide storage for the Polaris project and potentially third-party emitters in the future. Similarly, the Alberta Carbon Trunk Line (ACTL) is one of the world's largest $CO</w:t>
      </w:r>
      <w:proofErr w:type="gramStart"/>
      <w:r w:rsidRPr="006A6D18">
        <w:t>_{2}$</w:t>
      </w:r>
      <w:proofErr w:type="gramEnd"/>
      <w:r w:rsidRPr="006A6D18">
        <w:t xml:space="preserve"> transport systems, designed to move up to 14.6 million tonnes of $CO</w:t>
      </w:r>
      <w:proofErr w:type="gramStart"/>
      <w:r w:rsidRPr="006A6D18">
        <w:t>_{2}$</w:t>
      </w:r>
      <w:proofErr w:type="gramEnd"/>
      <w:r w:rsidRPr="006A6D18">
        <w:t xml:space="preserve"> per year.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gridCol w:w="1262"/>
        <w:gridCol w:w="1551"/>
        <w:gridCol w:w="1904"/>
        <w:gridCol w:w="2340"/>
      </w:tblGrid>
      <w:tr w:rsidR="006A6D18" w:rsidRPr="006A6D18" w14:paraId="6843011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7F8BA5" w14:textId="77777777" w:rsidR="006A6D18" w:rsidRPr="006A6D18" w:rsidRDefault="006A6D18" w:rsidP="006A6D18">
            <w:r w:rsidRPr="006A6D18">
              <w:rPr>
                <w:b/>
                <w:bCs/>
              </w:rPr>
              <w:t>Project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201CE2AE" w14:textId="77777777" w:rsidR="006A6D18" w:rsidRPr="006A6D18" w:rsidRDefault="006A6D18" w:rsidP="006A6D18">
            <w:r w:rsidRPr="006A6D18">
              <w:rPr>
                <w:b/>
                <w:bCs/>
              </w:rPr>
              <w:t>Location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F30E75C" w14:textId="77777777" w:rsidR="006A6D18" w:rsidRPr="006A6D18" w:rsidRDefault="006A6D18" w:rsidP="006A6D18">
            <w:r w:rsidRPr="006A6D18">
              <w:rPr>
                <w:b/>
                <w:bCs/>
              </w:rPr>
              <w:t>Capacity (Mtpa)</w:t>
            </w:r>
          </w:p>
        </w:tc>
        <w:tc>
          <w:tcPr>
            <w:tcW w:w="0" w:type="auto"/>
            <w:tcBorders>
              <w:top w:val="single" w:sz="6" w:space="0" w:color="auto"/>
              <w:left w:val="single" w:sz="6" w:space="0" w:color="auto"/>
              <w:bottom w:val="single" w:sz="6" w:space="0" w:color="auto"/>
              <w:right w:val="single" w:sz="6" w:space="0" w:color="auto"/>
            </w:tcBorders>
            <w:vAlign w:val="center"/>
            <w:hideMark/>
          </w:tcPr>
          <w:p w14:paraId="62286619" w14:textId="77777777" w:rsidR="006A6D18" w:rsidRPr="006A6D18" w:rsidRDefault="006A6D18" w:rsidP="006A6D18">
            <w:r w:rsidRPr="006A6D18">
              <w:rPr>
                <w:b/>
                <w:bCs/>
              </w:rPr>
              <w:t>Primary CO2 Source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2E1B755" w14:textId="77777777" w:rsidR="006A6D18" w:rsidRPr="006A6D18" w:rsidRDefault="006A6D18" w:rsidP="006A6D18">
            <w:r w:rsidRPr="006A6D18">
              <w:rPr>
                <w:b/>
                <w:bCs/>
              </w:rPr>
              <w:t>Status</w:t>
            </w:r>
          </w:p>
        </w:tc>
      </w:tr>
      <w:tr w:rsidR="006A6D18" w:rsidRPr="006A6D18" w14:paraId="74AAF1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8D6E39" w14:textId="77777777" w:rsidR="006A6D18" w:rsidRPr="006A6D18" w:rsidRDefault="006A6D18" w:rsidP="006A6D18">
            <w:r w:rsidRPr="006A6D18">
              <w:t>Quest CCS</w:t>
            </w:r>
          </w:p>
        </w:tc>
        <w:tc>
          <w:tcPr>
            <w:tcW w:w="0" w:type="auto"/>
            <w:tcBorders>
              <w:top w:val="single" w:sz="6" w:space="0" w:color="auto"/>
              <w:left w:val="single" w:sz="6" w:space="0" w:color="auto"/>
              <w:bottom w:val="single" w:sz="6" w:space="0" w:color="auto"/>
              <w:right w:val="single" w:sz="6" w:space="0" w:color="auto"/>
            </w:tcBorders>
            <w:vAlign w:val="center"/>
            <w:hideMark/>
          </w:tcPr>
          <w:p w14:paraId="65CA7A9D" w14:textId="77777777" w:rsidR="006A6D18" w:rsidRPr="006A6D18" w:rsidRDefault="006A6D18" w:rsidP="006A6D18">
            <w:r w:rsidRPr="006A6D18">
              <w:t>Scotford, AB</w:t>
            </w:r>
          </w:p>
        </w:tc>
        <w:tc>
          <w:tcPr>
            <w:tcW w:w="0" w:type="auto"/>
            <w:tcBorders>
              <w:top w:val="single" w:sz="6" w:space="0" w:color="auto"/>
              <w:left w:val="single" w:sz="6" w:space="0" w:color="auto"/>
              <w:bottom w:val="single" w:sz="6" w:space="0" w:color="auto"/>
              <w:right w:val="single" w:sz="6" w:space="0" w:color="auto"/>
            </w:tcBorders>
            <w:vAlign w:val="center"/>
            <w:hideMark/>
          </w:tcPr>
          <w:p w14:paraId="23CEC742" w14:textId="77777777" w:rsidR="006A6D18" w:rsidRPr="006A6D18" w:rsidRDefault="006A6D18" w:rsidP="006A6D18">
            <w:r w:rsidRPr="006A6D18">
              <w:t>1.1</w:t>
            </w:r>
          </w:p>
        </w:tc>
        <w:tc>
          <w:tcPr>
            <w:tcW w:w="0" w:type="auto"/>
            <w:tcBorders>
              <w:top w:val="single" w:sz="6" w:space="0" w:color="auto"/>
              <w:left w:val="single" w:sz="6" w:space="0" w:color="auto"/>
              <w:bottom w:val="single" w:sz="6" w:space="0" w:color="auto"/>
              <w:right w:val="single" w:sz="6" w:space="0" w:color="auto"/>
            </w:tcBorders>
            <w:vAlign w:val="center"/>
            <w:hideMark/>
          </w:tcPr>
          <w:p w14:paraId="4EBEE9DF" w14:textId="77777777" w:rsidR="006A6D18" w:rsidRPr="006A6D18" w:rsidRDefault="006A6D18" w:rsidP="006A6D18">
            <w:r w:rsidRPr="006A6D18">
              <w:t>Hydrogen Units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D1EE103" w14:textId="77777777" w:rsidR="006A6D18" w:rsidRPr="006A6D18" w:rsidRDefault="006A6D18" w:rsidP="006A6D18">
            <w:r w:rsidRPr="006A6D18">
              <w:t>Operational</w:t>
            </w:r>
          </w:p>
        </w:tc>
      </w:tr>
      <w:tr w:rsidR="006A6D18" w:rsidRPr="006A6D18" w14:paraId="3C0AC4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F14BF0" w14:textId="77777777" w:rsidR="006A6D18" w:rsidRPr="006A6D18" w:rsidRDefault="006A6D18" w:rsidP="006A6D18">
            <w:r w:rsidRPr="006A6D18">
              <w:t>Polaris CCS</w:t>
            </w:r>
          </w:p>
        </w:tc>
        <w:tc>
          <w:tcPr>
            <w:tcW w:w="0" w:type="auto"/>
            <w:tcBorders>
              <w:top w:val="single" w:sz="6" w:space="0" w:color="auto"/>
              <w:left w:val="single" w:sz="6" w:space="0" w:color="auto"/>
              <w:bottom w:val="single" w:sz="6" w:space="0" w:color="auto"/>
              <w:right w:val="single" w:sz="6" w:space="0" w:color="auto"/>
            </w:tcBorders>
            <w:vAlign w:val="center"/>
            <w:hideMark/>
          </w:tcPr>
          <w:p w14:paraId="2FFB2502" w14:textId="77777777" w:rsidR="006A6D18" w:rsidRPr="006A6D18" w:rsidRDefault="006A6D18" w:rsidP="006A6D18">
            <w:r w:rsidRPr="006A6D18">
              <w:t>Scotford, AB</w:t>
            </w:r>
          </w:p>
        </w:tc>
        <w:tc>
          <w:tcPr>
            <w:tcW w:w="0" w:type="auto"/>
            <w:tcBorders>
              <w:top w:val="single" w:sz="6" w:space="0" w:color="auto"/>
              <w:left w:val="single" w:sz="6" w:space="0" w:color="auto"/>
              <w:bottom w:val="single" w:sz="6" w:space="0" w:color="auto"/>
              <w:right w:val="single" w:sz="6" w:space="0" w:color="auto"/>
            </w:tcBorders>
            <w:vAlign w:val="center"/>
            <w:hideMark/>
          </w:tcPr>
          <w:p w14:paraId="50C78A01" w14:textId="77777777" w:rsidR="006A6D18" w:rsidRPr="006A6D18" w:rsidRDefault="006A6D18" w:rsidP="006A6D18">
            <w:r w:rsidRPr="006A6D18">
              <w:t>0.65</w:t>
            </w:r>
          </w:p>
        </w:tc>
        <w:tc>
          <w:tcPr>
            <w:tcW w:w="0" w:type="auto"/>
            <w:tcBorders>
              <w:top w:val="single" w:sz="6" w:space="0" w:color="auto"/>
              <w:left w:val="single" w:sz="6" w:space="0" w:color="auto"/>
              <w:bottom w:val="single" w:sz="6" w:space="0" w:color="auto"/>
              <w:right w:val="single" w:sz="6" w:space="0" w:color="auto"/>
            </w:tcBorders>
            <w:vAlign w:val="center"/>
            <w:hideMark/>
          </w:tcPr>
          <w:p w14:paraId="12061EC2" w14:textId="77777777" w:rsidR="006A6D18" w:rsidRPr="006A6D18" w:rsidRDefault="006A6D18" w:rsidP="006A6D18">
            <w:r w:rsidRPr="006A6D18">
              <w:t>Refinery/Chemicals</w:t>
            </w:r>
          </w:p>
        </w:tc>
        <w:tc>
          <w:tcPr>
            <w:tcW w:w="0" w:type="auto"/>
            <w:tcBorders>
              <w:top w:val="single" w:sz="6" w:space="0" w:color="auto"/>
              <w:left w:val="single" w:sz="6" w:space="0" w:color="auto"/>
              <w:bottom w:val="single" w:sz="6" w:space="0" w:color="auto"/>
              <w:right w:val="single" w:sz="6" w:space="0" w:color="auto"/>
            </w:tcBorders>
            <w:vAlign w:val="center"/>
            <w:hideMark/>
          </w:tcPr>
          <w:p w14:paraId="0FD6BC84" w14:textId="77777777" w:rsidR="006A6D18" w:rsidRPr="006A6D18" w:rsidRDefault="006A6D18" w:rsidP="006A6D18">
            <w:r w:rsidRPr="006A6D18">
              <w:t>Construction (2028 start)</w:t>
            </w:r>
          </w:p>
        </w:tc>
      </w:tr>
      <w:tr w:rsidR="006A6D18" w:rsidRPr="006A6D18" w14:paraId="4027BC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2A1D4B" w14:textId="77777777" w:rsidR="006A6D18" w:rsidRPr="006A6D18" w:rsidRDefault="006A6D18" w:rsidP="006A6D18">
            <w:r w:rsidRPr="006A6D18">
              <w:t>ACTL</w:t>
            </w:r>
          </w:p>
        </w:tc>
        <w:tc>
          <w:tcPr>
            <w:tcW w:w="0" w:type="auto"/>
            <w:tcBorders>
              <w:top w:val="single" w:sz="6" w:space="0" w:color="auto"/>
              <w:left w:val="single" w:sz="6" w:space="0" w:color="auto"/>
              <w:bottom w:val="single" w:sz="6" w:space="0" w:color="auto"/>
              <w:right w:val="single" w:sz="6" w:space="0" w:color="auto"/>
            </w:tcBorders>
            <w:vAlign w:val="center"/>
            <w:hideMark/>
          </w:tcPr>
          <w:p w14:paraId="5EB2742D" w14:textId="77777777" w:rsidR="006A6D18" w:rsidRPr="006A6D18" w:rsidRDefault="006A6D18" w:rsidP="006A6D18">
            <w:r w:rsidRPr="006A6D18">
              <w:t>Central AB</w:t>
            </w:r>
          </w:p>
        </w:tc>
        <w:tc>
          <w:tcPr>
            <w:tcW w:w="0" w:type="auto"/>
            <w:tcBorders>
              <w:top w:val="single" w:sz="6" w:space="0" w:color="auto"/>
              <w:left w:val="single" w:sz="6" w:space="0" w:color="auto"/>
              <w:bottom w:val="single" w:sz="6" w:space="0" w:color="auto"/>
              <w:right w:val="single" w:sz="6" w:space="0" w:color="auto"/>
            </w:tcBorders>
            <w:vAlign w:val="center"/>
            <w:hideMark/>
          </w:tcPr>
          <w:p w14:paraId="7F1FC972" w14:textId="77777777" w:rsidR="006A6D18" w:rsidRPr="006A6D18" w:rsidRDefault="006A6D18" w:rsidP="006A6D18">
            <w:r w:rsidRPr="006A6D18">
              <w:t>14.6 (system)</w:t>
            </w:r>
          </w:p>
        </w:tc>
        <w:tc>
          <w:tcPr>
            <w:tcW w:w="0" w:type="auto"/>
            <w:tcBorders>
              <w:top w:val="single" w:sz="6" w:space="0" w:color="auto"/>
              <w:left w:val="single" w:sz="6" w:space="0" w:color="auto"/>
              <w:bottom w:val="single" w:sz="6" w:space="0" w:color="auto"/>
              <w:right w:val="single" w:sz="6" w:space="0" w:color="auto"/>
            </w:tcBorders>
            <w:vAlign w:val="center"/>
            <w:hideMark/>
          </w:tcPr>
          <w:p w14:paraId="01801839" w14:textId="77777777" w:rsidR="006A6D18" w:rsidRPr="006A6D18" w:rsidRDefault="006A6D18" w:rsidP="006A6D18">
            <w:r w:rsidRPr="006A6D18">
              <w:t>Refinery/Fertilizer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A2DF549" w14:textId="77777777" w:rsidR="006A6D18" w:rsidRPr="006A6D18" w:rsidRDefault="006A6D18" w:rsidP="006A6D18">
            <w:r w:rsidRPr="006A6D18">
              <w:t>Operational</w:t>
            </w:r>
          </w:p>
        </w:tc>
      </w:tr>
      <w:tr w:rsidR="006A6D18" w:rsidRPr="006A6D18" w14:paraId="05134F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6F9F97" w14:textId="77777777" w:rsidR="006A6D18" w:rsidRPr="006A6D18" w:rsidRDefault="006A6D18" w:rsidP="006A6D18">
            <w:r w:rsidRPr="006A6D18">
              <w:t>Pathways Alliance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84A3C46" w14:textId="77777777" w:rsidR="006A6D18" w:rsidRPr="006A6D18" w:rsidRDefault="006A6D18" w:rsidP="006A6D18">
            <w:r w:rsidRPr="006A6D18">
              <w:t>Oil Sands, AB</w:t>
            </w:r>
          </w:p>
        </w:tc>
        <w:tc>
          <w:tcPr>
            <w:tcW w:w="0" w:type="auto"/>
            <w:tcBorders>
              <w:top w:val="single" w:sz="6" w:space="0" w:color="auto"/>
              <w:left w:val="single" w:sz="6" w:space="0" w:color="auto"/>
              <w:bottom w:val="single" w:sz="6" w:space="0" w:color="auto"/>
              <w:right w:val="single" w:sz="6" w:space="0" w:color="auto"/>
            </w:tcBorders>
            <w:vAlign w:val="center"/>
            <w:hideMark/>
          </w:tcPr>
          <w:p w14:paraId="22F709CC" w14:textId="77777777" w:rsidR="006A6D18" w:rsidRPr="006A6D18" w:rsidRDefault="006A6D18" w:rsidP="006A6D18">
            <w:r w:rsidRPr="006A6D18">
              <w:t>40.0 (by 2050)</w:t>
            </w:r>
          </w:p>
        </w:tc>
        <w:tc>
          <w:tcPr>
            <w:tcW w:w="0" w:type="auto"/>
            <w:tcBorders>
              <w:top w:val="single" w:sz="6" w:space="0" w:color="auto"/>
              <w:left w:val="single" w:sz="6" w:space="0" w:color="auto"/>
              <w:bottom w:val="single" w:sz="6" w:space="0" w:color="auto"/>
              <w:right w:val="single" w:sz="6" w:space="0" w:color="auto"/>
            </w:tcBorders>
            <w:vAlign w:val="center"/>
            <w:hideMark/>
          </w:tcPr>
          <w:p w14:paraId="7A3F8BB5" w14:textId="77777777" w:rsidR="006A6D18" w:rsidRPr="006A6D18" w:rsidRDefault="006A6D18" w:rsidP="006A6D18">
            <w:r w:rsidRPr="006A6D18">
              <w:t>Multiple Oil Sands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72DF8C39" w14:textId="77777777" w:rsidR="006A6D18" w:rsidRPr="006A6D18" w:rsidRDefault="006A6D18" w:rsidP="006A6D18">
            <w:r w:rsidRPr="006A6D18">
              <w:t>Development</w:t>
            </w:r>
          </w:p>
        </w:tc>
      </w:tr>
      <w:tr w:rsidR="006A6D18" w:rsidRPr="006A6D18" w14:paraId="644860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CDB384" w14:textId="77777777" w:rsidR="006A6D18" w:rsidRPr="006A6D18" w:rsidRDefault="006A6D18" w:rsidP="006A6D18">
            <w:r w:rsidRPr="006A6D18">
              <w:t>Weyburn-Midale</w:t>
            </w:r>
          </w:p>
        </w:tc>
        <w:tc>
          <w:tcPr>
            <w:tcW w:w="0" w:type="auto"/>
            <w:tcBorders>
              <w:top w:val="single" w:sz="6" w:space="0" w:color="auto"/>
              <w:left w:val="single" w:sz="6" w:space="0" w:color="auto"/>
              <w:bottom w:val="single" w:sz="6" w:space="0" w:color="auto"/>
              <w:right w:val="single" w:sz="6" w:space="0" w:color="auto"/>
            </w:tcBorders>
            <w:vAlign w:val="center"/>
            <w:hideMark/>
          </w:tcPr>
          <w:p w14:paraId="7E6CB574" w14:textId="77777777" w:rsidR="006A6D18" w:rsidRPr="006A6D18" w:rsidRDefault="006A6D18" w:rsidP="006A6D18">
            <w:r w:rsidRPr="006A6D18">
              <w:t>SE Sask.</w:t>
            </w:r>
          </w:p>
        </w:tc>
        <w:tc>
          <w:tcPr>
            <w:tcW w:w="0" w:type="auto"/>
            <w:tcBorders>
              <w:top w:val="single" w:sz="6" w:space="0" w:color="auto"/>
              <w:left w:val="single" w:sz="6" w:space="0" w:color="auto"/>
              <w:bottom w:val="single" w:sz="6" w:space="0" w:color="auto"/>
              <w:right w:val="single" w:sz="6" w:space="0" w:color="auto"/>
            </w:tcBorders>
            <w:vAlign w:val="center"/>
            <w:hideMark/>
          </w:tcPr>
          <w:p w14:paraId="2B7A0F90" w14:textId="77777777" w:rsidR="006A6D18" w:rsidRPr="006A6D18" w:rsidRDefault="006A6D18" w:rsidP="006A6D18">
            <w:r w:rsidRPr="006A6D18">
              <w:t>2.0</w:t>
            </w:r>
          </w:p>
        </w:tc>
        <w:tc>
          <w:tcPr>
            <w:tcW w:w="0" w:type="auto"/>
            <w:tcBorders>
              <w:top w:val="single" w:sz="6" w:space="0" w:color="auto"/>
              <w:left w:val="single" w:sz="6" w:space="0" w:color="auto"/>
              <w:bottom w:val="single" w:sz="6" w:space="0" w:color="auto"/>
              <w:right w:val="single" w:sz="6" w:space="0" w:color="auto"/>
            </w:tcBorders>
            <w:vAlign w:val="center"/>
            <w:hideMark/>
          </w:tcPr>
          <w:p w14:paraId="04B3DADD" w14:textId="77777777" w:rsidR="006A6D18" w:rsidRPr="006A6D18" w:rsidRDefault="006A6D18" w:rsidP="006A6D18">
            <w:r w:rsidRPr="006A6D18">
              <w:t>Coal/Gas Plants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2DFF1B5" w14:textId="77777777" w:rsidR="006A6D18" w:rsidRPr="006A6D18" w:rsidRDefault="006A6D18" w:rsidP="006A6D18">
            <w:r w:rsidRPr="006A6D18">
              <w:t>Operational (EOR)</w:t>
            </w:r>
          </w:p>
        </w:tc>
      </w:tr>
    </w:tbl>
    <w:p w14:paraId="47B1C855" w14:textId="77777777" w:rsidR="006A6D18" w:rsidRPr="006A6D18" w:rsidRDefault="006A6D18" w:rsidP="006A6D18">
      <w:r w:rsidRPr="006A6D18">
        <w:t>Table 3: Significant Carbon Capture and Storage Assets in Canada.</w:t>
      </w:r>
    </w:p>
    <w:p w14:paraId="0A5F3C8C" w14:textId="77777777" w:rsidR="006A6D18" w:rsidRPr="006A6D18" w:rsidRDefault="006A6D18" w:rsidP="006A6D18">
      <w:r w:rsidRPr="006A6D18">
        <w:t>The most ambitious proposal is the Pathways Alliance, a consortium of the six largest oil sands producers planning a $16.5 billion CCS system. This would involve a 400-kilometer trunk line connecting individual capture units at major facilities to a central storage hub, aiming to store 40 million tonnes of $CO</w:t>
      </w:r>
      <w:proofErr w:type="gramStart"/>
      <w:r w:rsidRPr="006A6D18">
        <w:t>_{2}$</w:t>
      </w:r>
      <w:proofErr w:type="gramEnd"/>
      <w:r w:rsidRPr="006A6D18">
        <w:t xml:space="preserve"> annually by 2050—effectively the equivalent of 40 Quest projects.</w:t>
      </w:r>
    </w:p>
    <w:p w14:paraId="02A28E45" w14:textId="77777777" w:rsidR="006A6D18" w:rsidRPr="006A6D18" w:rsidRDefault="006A6D18" w:rsidP="006A6D18">
      <w:pPr>
        <w:rPr>
          <w:b/>
          <w:bCs/>
        </w:rPr>
      </w:pPr>
      <w:r w:rsidRPr="006A6D18">
        <w:rPr>
          <w:b/>
          <w:bCs/>
        </w:rPr>
        <w:t>U.S. Carbon Management and Federal Support</w:t>
      </w:r>
    </w:p>
    <w:p w14:paraId="3138A484" w14:textId="77777777" w:rsidR="006A6D18" w:rsidRPr="006A6D18" w:rsidRDefault="006A6D18" w:rsidP="006A6D18">
      <w:r w:rsidRPr="006A6D18">
        <w:t>The United States holds nearly half of the global operational CCS capacity, with 22 million tonnes per year currently sequestered. Much of this has historically been tied to Enhanced Oil Recovery (EOR), where $CO</w:t>
      </w:r>
      <w:proofErr w:type="gramStart"/>
      <w:r w:rsidRPr="006A6D18">
        <w:t>_{2}$</w:t>
      </w:r>
      <w:proofErr w:type="gramEnd"/>
      <w:r w:rsidRPr="006A6D18">
        <w:t xml:space="preserve"> is used to stimulate oil production in aging fields. Examples include the Shute Creek Gas Processing Facility in Wyoming, which recovers seven million tonnes of $CO</w:t>
      </w:r>
      <w:proofErr w:type="gramStart"/>
      <w:r w:rsidRPr="006A6D18">
        <w:t>_{2}$</w:t>
      </w:r>
      <w:proofErr w:type="gramEnd"/>
      <w:r w:rsidRPr="006A6D18">
        <w:t xml:space="preserve"> annually, and the Terrell plant in Texas, the oldest industrial CCS project in the world.</w:t>
      </w:r>
    </w:p>
    <w:p w14:paraId="650C1F50" w14:textId="77777777" w:rsidR="006A6D18" w:rsidRPr="006A6D18" w:rsidRDefault="006A6D18" w:rsidP="006A6D18">
      <w:r w:rsidRPr="006A6D18">
        <w:t xml:space="preserve">However, the U.S. is shifting toward permanent geologic storage through programs like </w:t>
      </w:r>
      <w:proofErr w:type="spellStart"/>
      <w:r w:rsidRPr="006A6D18">
        <w:t>CarbonSAFE</w:t>
      </w:r>
      <w:proofErr w:type="spellEnd"/>
      <w:r w:rsidRPr="006A6D18">
        <w:t xml:space="preserve">, which has awarded over $595 million to develop large-scale saline storage sites. The U.S. Department of </w:t>
      </w:r>
      <w:r w:rsidRPr="006A6D18">
        <w:lastRenderedPageBreak/>
        <w:t>Energy (DOE) is also funding Direct Air Capture (DAC) hubs, which extract $CO</w:t>
      </w:r>
      <w:proofErr w:type="gramStart"/>
      <w:r w:rsidRPr="006A6D18">
        <w:t>_{2}$</w:t>
      </w:r>
      <w:proofErr w:type="gramEnd"/>
      <w:r w:rsidRPr="006A6D18">
        <w:t xml:space="preserve"> directly from the atmosphere. Companies like 1PointFive plan to deploy up to 70 DAC facilities by 2035, each with a capacity of one million tonnes per year.</w:t>
      </w:r>
    </w:p>
    <w:p w14:paraId="1D1A3C39" w14:textId="77777777" w:rsidR="006A6D18" w:rsidRPr="006A6D18" w:rsidRDefault="006A6D18" w:rsidP="006A6D18">
      <w:r w:rsidRPr="006A6D18">
        <w:t>Despite this momentum, the sector faces economic volatility. In 2025, the DOE terminated several high-profile carbon capture demonstration projects at power plants, citing unfavorable economics. This underscores the critical role of federal policy, such as the 45Q tax credit, in bridging the gap between technological feasibility and commercial viability.</w:t>
      </w:r>
    </w:p>
    <w:p w14:paraId="1285095D" w14:textId="77777777" w:rsidR="006A6D18" w:rsidRPr="006A6D18" w:rsidRDefault="006A6D18" w:rsidP="006A6D18">
      <w:pPr>
        <w:rPr>
          <w:b/>
          <w:bCs/>
        </w:rPr>
      </w:pPr>
      <w:r w:rsidRPr="006A6D18">
        <w:rPr>
          <w:b/>
          <w:bCs/>
        </w:rPr>
        <w:t>Indigenous and Tribal Energy Sovereignty: A New Equity Model</w:t>
      </w:r>
    </w:p>
    <w:p w14:paraId="14C4E02C" w14:textId="77777777" w:rsidR="006A6D18" w:rsidRPr="006A6D18" w:rsidRDefault="006A6D18" w:rsidP="006A6D18">
      <w:r w:rsidRPr="006A6D18">
        <w:t>The energy transition in North America is fundamentally intertwined with the rights and economic aspirations of Indigenous and Tribal nations. Moving beyond the legacy of "decide-announce-defend" development models, many Indigenous communities are now asserting energy sovereignty by becoming majority equity owners and lead developers of clean energy infrastructure. In Canada, this shift is supported by government-backed loan guarantees, while in the United States, Tribal nations are utilizing federal grants to de-risk utility-scale projects on their lands.</w:t>
      </w:r>
    </w:p>
    <w:p w14:paraId="5FD8B1FA" w14:textId="77777777" w:rsidR="006A6D18" w:rsidRPr="006A6D18" w:rsidRDefault="006A6D18" w:rsidP="006A6D18">
      <w:pPr>
        <w:rPr>
          <w:b/>
          <w:bCs/>
        </w:rPr>
      </w:pPr>
      <w:r w:rsidRPr="006A6D18">
        <w:rPr>
          <w:b/>
          <w:bCs/>
        </w:rPr>
        <w:t>Trends in Canadian Indigenous Equity Participation</w:t>
      </w:r>
    </w:p>
    <w:p w14:paraId="1730B44A" w14:textId="77777777" w:rsidR="006A6D18" w:rsidRPr="006A6D18" w:rsidRDefault="006A6D18" w:rsidP="006A6D18">
      <w:r w:rsidRPr="006A6D18">
        <w:t>Indigenous participation in Canada's energy sector has reached a "steady growth" phase, with approximately 200 energy and infrastructure projects currently identified as having partial or whole Indigenous ownership. Remarkably, 30% of these projects were announced in the short window between 2024 and 2026, reflecting the impact of expanded access to capital.</w:t>
      </w:r>
    </w:p>
    <w:p w14:paraId="42814703" w14:textId="77777777" w:rsidR="006A6D18" w:rsidRPr="006A6D18" w:rsidRDefault="006A6D18" w:rsidP="006A6D18">
      <w:r w:rsidRPr="006A6D18">
        <w:t>Jurisdictional analysis shows that Ontario and British Columbia are the leaders in this space. In Ontario, the Independent Electricity System Operator (IESO) recently awarded 20-year contracts to 14 renewable energy proposals, all of which feature at least 50% Indigenous equity. In British Columbia, the BC Hydro "Call for Power 2024" has stimulated a wave of Indigenous-led wind and solar projects. A landmark transaction in July 2025 saw 38 Indigenous communities acquire a 12.5% interest in Westcoast Energy through a $738 million investment supported by a federal loan guarantee.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6"/>
        <w:gridCol w:w="1651"/>
        <w:gridCol w:w="3622"/>
      </w:tblGrid>
      <w:tr w:rsidR="006A6D18" w:rsidRPr="006A6D18" w14:paraId="03ACB3F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8E068B" w14:textId="77777777" w:rsidR="006A6D18" w:rsidRPr="006A6D18" w:rsidRDefault="006A6D18" w:rsidP="006A6D18">
            <w:r w:rsidRPr="006A6D18">
              <w:rPr>
                <w:b/>
                <w:bCs/>
              </w:rPr>
              <w:t>Province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79DF524" w14:textId="77777777" w:rsidR="006A6D18" w:rsidRPr="006A6D18" w:rsidRDefault="006A6D18" w:rsidP="006A6D18">
            <w:r w:rsidRPr="006A6D18">
              <w:rPr>
                <w:b/>
                <w:bCs/>
              </w:rPr>
              <w:t>Project Share (%)</w:t>
            </w:r>
          </w:p>
        </w:tc>
        <w:tc>
          <w:tcPr>
            <w:tcW w:w="0" w:type="auto"/>
            <w:tcBorders>
              <w:top w:val="single" w:sz="6" w:space="0" w:color="auto"/>
              <w:left w:val="single" w:sz="6" w:space="0" w:color="auto"/>
              <w:bottom w:val="single" w:sz="6" w:space="0" w:color="auto"/>
              <w:right w:val="single" w:sz="6" w:space="0" w:color="auto"/>
            </w:tcBorders>
            <w:vAlign w:val="center"/>
            <w:hideMark/>
          </w:tcPr>
          <w:p w14:paraId="51D21642" w14:textId="77777777" w:rsidR="006A6D18" w:rsidRPr="006A6D18" w:rsidRDefault="006A6D18" w:rsidP="006A6D18">
            <w:r w:rsidRPr="006A6D18">
              <w:rPr>
                <w:b/>
                <w:bCs/>
              </w:rPr>
              <w:t>Key Trend</w:t>
            </w:r>
          </w:p>
        </w:tc>
      </w:tr>
      <w:tr w:rsidR="006A6D18" w:rsidRPr="006A6D18" w14:paraId="629265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80402E" w14:textId="77777777" w:rsidR="006A6D18" w:rsidRPr="006A6D18" w:rsidRDefault="006A6D18" w:rsidP="006A6D18">
            <w:r w:rsidRPr="006A6D18">
              <w:t>Ontario</w:t>
            </w:r>
          </w:p>
        </w:tc>
        <w:tc>
          <w:tcPr>
            <w:tcW w:w="0" w:type="auto"/>
            <w:tcBorders>
              <w:top w:val="single" w:sz="6" w:space="0" w:color="auto"/>
              <w:left w:val="single" w:sz="6" w:space="0" w:color="auto"/>
              <w:bottom w:val="single" w:sz="6" w:space="0" w:color="auto"/>
              <w:right w:val="single" w:sz="6" w:space="0" w:color="auto"/>
            </w:tcBorders>
            <w:vAlign w:val="center"/>
            <w:hideMark/>
          </w:tcPr>
          <w:p w14:paraId="3A2AE274" w14:textId="77777777" w:rsidR="006A6D18" w:rsidRPr="006A6D18" w:rsidRDefault="006A6D18" w:rsidP="006A6D18">
            <w:r w:rsidRPr="006A6D18">
              <w:t>32</w:t>
            </w:r>
          </w:p>
        </w:tc>
        <w:tc>
          <w:tcPr>
            <w:tcW w:w="0" w:type="auto"/>
            <w:tcBorders>
              <w:top w:val="single" w:sz="6" w:space="0" w:color="auto"/>
              <w:left w:val="single" w:sz="6" w:space="0" w:color="auto"/>
              <w:bottom w:val="single" w:sz="6" w:space="0" w:color="auto"/>
              <w:right w:val="single" w:sz="6" w:space="0" w:color="auto"/>
            </w:tcBorders>
            <w:vAlign w:val="center"/>
            <w:hideMark/>
          </w:tcPr>
          <w:p w14:paraId="1A3E4965" w14:textId="77777777" w:rsidR="006A6D18" w:rsidRPr="006A6D18" w:rsidRDefault="006A6D18" w:rsidP="006A6D18">
            <w:r w:rsidRPr="006A6D18">
              <w:t>50/50 Equity partnerships with utilities</w:t>
            </w:r>
          </w:p>
        </w:tc>
      </w:tr>
      <w:tr w:rsidR="006A6D18" w:rsidRPr="006A6D18" w14:paraId="18B3FA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4FE052" w14:textId="77777777" w:rsidR="006A6D18" w:rsidRPr="006A6D18" w:rsidRDefault="006A6D18" w:rsidP="006A6D18">
            <w:r w:rsidRPr="006A6D18">
              <w:t>British Columbia</w:t>
            </w:r>
          </w:p>
        </w:tc>
        <w:tc>
          <w:tcPr>
            <w:tcW w:w="0" w:type="auto"/>
            <w:tcBorders>
              <w:top w:val="single" w:sz="6" w:space="0" w:color="auto"/>
              <w:left w:val="single" w:sz="6" w:space="0" w:color="auto"/>
              <w:bottom w:val="single" w:sz="6" w:space="0" w:color="auto"/>
              <w:right w:val="single" w:sz="6" w:space="0" w:color="auto"/>
            </w:tcBorders>
            <w:vAlign w:val="center"/>
            <w:hideMark/>
          </w:tcPr>
          <w:p w14:paraId="045D5F71" w14:textId="77777777" w:rsidR="006A6D18" w:rsidRPr="006A6D18" w:rsidRDefault="006A6D18" w:rsidP="006A6D18">
            <w:r w:rsidRPr="006A6D18">
              <w:t>25</w:t>
            </w:r>
          </w:p>
        </w:tc>
        <w:tc>
          <w:tcPr>
            <w:tcW w:w="0" w:type="auto"/>
            <w:tcBorders>
              <w:top w:val="single" w:sz="6" w:space="0" w:color="auto"/>
              <w:left w:val="single" w:sz="6" w:space="0" w:color="auto"/>
              <w:bottom w:val="single" w:sz="6" w:space="0" w:color="auto"/>
              <w:right w:val="single" w:sz="6" w:space="0" w:color="auto"/>
            </w:tcBorders>
            <w:vAlign w:val="center"/>
            <w:hideMark/>
          </w:tcPr>
          <w:p w14:paraId="0D2327A1" w14:textId="77777777" w:rsidR="006A6D18" w:rsidRPr="006A6D18" w:rsidRDefault="006A6D18" w:rsidP="006A6D18">
            <w:r w:rsidRPr="006A6D18">
              <w:t>Large-scale transmission and gas equity</w:t>
            </w:r>
          </w:p>
        </w:tc>
      </w:tr>
      <w:tr w:rsidR="006A6D18" w:rsidRPr="006A6D18" w14:paraId="0A6628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8E43CF" w14:textId="77777777" w:rsidR="006A6D18" w:rsidRPr="006A6D18" w:rsidRDefault="006A6D18" w:rsidP="006A6D18">
            <w:r w:rsidRPr="006A6D18">
              <w:t>Saskatchewan</w:t>
            </w:r>
          </w:p>
        </w:tc>
        <w:tc>
          <w:tcPr>
            <w:tcW w:w="0" w:type="auto"/>
            <w:tcBorders>
              <w:top w:val="single" w:sz="6" w:space="0" w:color="auto"/>
              <w:left w:val="single" w:sz="6" w:space="0" w:color="auto"/>
              <w:bottom w:val="single" w:sz="6" w:space="0" w:color="auto"/>
              <w:right w:val="single" w:sz="6" w:space="0" w:color="auto"/>
            </w:tcBorders>
            <w:vAlign w:val="center"/>
            <w:hideMark/>
          </w:tcPr>
          <w:p w14:paraId="2BCC34EA" w14:textId="77777777" w:rsidR="006A6D18" w:rsidRPr="006A6D18" w:rsidRDefault="006A6D18" w:rsidP="006A6D18">
            <w:r w:rsidRPr="006A6D18">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5416D13E" w14:textId="77777777" w:rsidR="006A6D18" w:rsidRPr="006A6D18" w:rsidRDefault="006A6D18" w:rsidP="006A6D18">
            <w:r w:rsidRPr="006A6D18">
              <w:t>Solar projects for grid reliability</w:t>
            </w:r>
          </w:p>
        </w:tc>
      </w:tr>
      <w:tr w:rsidR="006A6D18" w:rsidRPr="006A6D18" w14:paraId="33A72C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2766C2" w14:textId="77777777" w:rsidR="006A6D18" w:rsidRPr="006A6D18" w:rsidRDefault="006A6D18" w:rsidP="006A6D18">
            <w:r w:rsidRPr="006A6D18">
              <w:t>Alberta</w:t>
            </w:r>
          </w:p>
        </w:tc>
        <w:tc>
          <w:tcPr>
            <w:tcW w:w="0" w:type="auto"/>
            <w:tcBorders>
              <w:top w:val="single" w:sz="6" w:space="0" w:color="auto"/>
              <w:left w:val="single" w:sz="6" w:space="0" w:color="auto"/>
              <w:bottom w:val="single" w:sz="6" w:space="0" w:color="auto"/>
              <w:right w:val="single" w:sz="6" w:space="0" w:color="auto"/>
            </w:tcBorders>
            <w:vAlign w:val="center"/>
            <w:hideMark/>
          </w:tcPr>
          <w:p w14:paraId="5E9DD453" w14:textId="77777777" w:rsidR="006A6D18" w:rsidRPr="006A6D18" w:rsidRDefault="006A6D18" w:rsidP="006A6D18">
            <w:r w:rsidRPr="006A6D18">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67E768AA" w14:textId="77777777" w:rsidR="006A6D18" w:rsidRPr="006A6D18" w:rsidRDefault="006A6D18" w:rsidP="006A6D18">
            <w:r w:rsidRPr="006A6D18">
              <w:t>Pause on renewables slowed activity</w:t>
            </w:r>
          </w:p>
        </w:tc>
      </w:tr>
      <w:tr w:rsidR="006A6D18" w:rsidRPr="006A6D18" w14:paraId="1A9EBB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729062" w14:textId="77777777" w:rsidR="006A6D18" w:rsidRPr="006A6D18" w:rsidRDefault="006A6D18" w:rsidP="006A6D18">
            <w:r w:rsidRPr="006A6D18">
              <w:t>Maritimes/Quebec</w:t>
            </w:r>
          </w:p>
        </w:tc>
        <w:tc>
          <w:tcPr>
            <w:tcW w:w="0" w:type="auto"/>
            <w:tcBorders>
              <w:top w:val="single" w:sz="6" w:space="0" w:color="auto"/>
              <w:left w:val="single" w:sz="6" w:space="0" w:color="auto"/>
              <w:bottom w:val="single" w:sz="6" w:space="0" w:color="auto"/>
              <w:right w:val="single" w:sz="6" w:space="0" w:color="auto"/>
            </w:tcBorders>
            <w:vAlign w:val="center"/>
            <w:hideMark/>
          </w:tcPr>
          <w:p w14:paraId="5919B9BF" w14:textId="77777777" w:rsidR="006A6D18" w:rsidRPr="006A6D18" w:rsidRDefault="006A6D18" w:rsidP="006A6D18">
            <w:r w:rsidRPr="006A6D18">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4AF7AC6D" w14:textId="77777777" w:rsidR="006A6D18" w:rsidRPr="006A6D18" w:rsidRDefault="006A6D18" w:rsidP="006A6D18">
            <w:r w:rsidRPr="006A6D18">
              <w:t>Wind and storage (BESS) projects</w:t>
            </w:r>
          </w:p>
        </w:tc>
      </w:tr>
    </w:tbl>
    <w:p w14:paraId="56993D09" w14:textId="77777777" w:rsidR="006A6D18" w:rsidRPr="006A6D18" w:rsidRDefault="006A6D18" w:rsidP="006A6D18">
      <w:r w:rsidRPr="006A6D18">
        <w:t>Table 4: Jurisdictional Distribution of Indigenous Equity Projects in Canada (2024-2026).</w:t>
      </w:r>
    </w:p>
    <w:p w14:paraId="4FC76DDE" w14:textId="77777777" w:rsidR="006A6D18" w:rsidRPr="006A6D18" w:rsidRDefault="006A6D18" w:rsidP="006A6D18">
      <w:r w:rsidRPr="006A6D18">
        <w:t xml:space="preserve">Ownership models are also maturing. While early projects often involved minority stakes, 43% of current Indigenous energy projects are majority-owned (&gt;50%), and 10% are entirely Indigenous-owned. This </w:t>
      </w:r>
      <w:r w:rsidRPr="006A6D18">
        <w:lastRenderedPageBreak/>
        <w:t>control allows communities to align project development with traditional values, ensuring that environmental stewardship and cultural preservation are prioritized alongside revenue generation.</w:t>
      </w:r>
    </w:p>
    <w:p w14:paraId="30CEB132" w14:textId="77777777" w:rsidR="006A6D18" w:rsidRPr="006A6D18" w:rsidRDefault="006A6D18" w:rsidP="006A6D18">
      <w:pPr>
        <w:rPr>
          <w:b/>
          <w:bCs/>
        </w:rPr>
      </w:pPr>
      <w:r w:rsidRPr="006A6D18">
        <w:rPr>
          <w:b/>
          <w:bCs/>
        </w:rPr>
        <w:t>Tribal Energy Development in the United States</w:t>
      </w:r>
    </w:p>
    <w:p w14:paraId="047092F3" w14:textId="77777777" w:rsidR="006A6D18" w:rsidRPr="006A6D18" w:rsidRDefault="006A6D18" w:rsidP="006A6D18">
      <w:r w:rsidRPr="006A6D18">
        <w:t>In the United States, the Department of Energy’s Office of Indian Energy has launched the "Unleashing Tribal Energy Development" initiative, providing $50 million in competitive funding to foster energy independence. This funding supports community-scale construction, pre-development activities, and large-scale planning to "de-risk" projects, allowing Tribes to unlock further financing through the Tribal Energy Financing Program.</w:t>
      </w:r>
    </w:p>
    <w:p w14:paraId="6DC22833" w14:textId="77777777" w:rsidR="006A6D18" w:rsidRPr="006A6D18" w:rsidRDefault="006A6D18" w:rsidP="006A6D18">
      <w:r w:rsidRPr="006A6D18">
        <w:t>Success stories like the Moapa Southern Paiute Solar Project in Nevada serve as a blueprint. This 250-MW facility was the first utility-scale solar project on North American Tribal land, providing electricity for 111,000 homes while generating millions of dollars in lease revenue for the Moapa Band of Paiutes. Similarly, the Navajo Nation’s Kayenta Solar Program has utilized solar revenue to fund the "Light Up Navajo" initiative, bringing electricity to off-grid families.</w:t>
      </w:r>
    </w:p>
    <w:p w14:paraId="4C8D2802" w14:textId="77777777" w:rsidR="006A6D18" w:rsidRPr="006A6D18" w:rsidRDefault="006A6D18" w:rsidP="006A6D18">
      <w:r w:rsidRPr="006A6D18">
        <w:t>The economic impact of these projects extends beyond direct revenue. They create a local energy workforce; for example, 85% of the construction crew for the Kayenta project were of Navajo descent. Furthermore, clean energy projects allow Tribes to reduce their reliance on expensive, external utilities, lowering the energy burden on household budgets.</w:t>
      </w:r>
    </w:p>
    <w:p w14:paraId="5E44BBC0" w14:textId="77777777" w:rsidR="006A6D18" w:rsidRPr="006A6D18" w:rsidRDefault="006A6D18" w:rsidP="006A6D18">
      <w:pPr>
        <w:rPr>
          <w:b/>
          <w:bCs/>
        </w:rPr>
      </w:pPr>
      <w:r w:rsidRPr="006A6D18">
        <w:rPr>
          <w:b/>
          <w:bCs/>
        </w:rPr>
        <w:t>Economic Drivers and Policy Intersections: Data Centers and Industrial Loads</w:t>
      </w:r>
    </w:p>
    <w:p w14:paraId="0DE3AB97" w14:textId="77777777" w:rsidR="006A6D18" w:rsidRPr="006A6D18" w:rsidRDefault="006A6D18" w:rsidP="006A6D18">
      <w:r w:rsidRPr="006A6D18">
        <w:t>The future of the North American energy system is being reshaped by new sources of demand that require consistent, high-volume power. The proliferation of Artificial Intelligence (AI) and the subsequent growth of data centers are emerging as primary drivers of electricity demand, particularly in jurisdictions with high renewable penetration. In Canada, data center load growth is a central variable in CER modeling, potentially accounting for 100 TWh of growth in higher-growth scenarios.</w:t>
      </w:r>
    </w:p>
    <w:p w14:paraId="723A767A" w14:textId="77777777" w:rsidR="006A6D18" w:rsidRPr="006A6D18" w:rsidRDefault="006A6D18" w:rsidP="006A6D18">
      <w:r w:rsidRPr="006A6D18">
        <w:t>This trend is creating new opportunities for Indigenous investment. In 2025 and 2026, two Indigenous-led AI data center projects were announced in British Columbia and Alberta, signaling an expansion of Indigenous equity into energy-intensive digital infrastructure. This integration of energy and data allows communities to capture a larger share of the value chain in the digital economy.</w:t>
      </w:r>
    </w:p>
    <w:p w14:paraId="47E0101E" w14:textId="77777777" w:rsidR="006A6D18" w:rsidRPr="006A6D18" w:rsidRDefault="006A6D18" w:rsidP="006A6D18">
      <w:pPr>
        <w:rPr>
          <w:b/>
          <w:bCs/>
        </w:rPr>
      </w:pPr>
      <w:r w:rsidRPr="006A6D18">
        <w:rPr>
          <w:b/>
          <w:bCs/>
        </w:rPr>
        <w:t>US Policy Volatility and its Market Implications</w:t>
      </w:r>
    </w:p>
    <w:p w14:paraId="79D73B04" w14:textId="77777777" w:rsidR="006A6D18" w:rsidRPr="006A6D18" w:rsidRDefault="006A6D18" w:rsidP="006A6D18">
      <w:r w:rsidRPr="006A6D18">
        <w:t>The U.S. energy market is currently navigating significant policy shifts following the introduction of the "One Big Beautiful Bill Act" in 2025. This legislation proposes to accelerate the elimination of the production and investment tax credits (PTC and ITC) originally expanded by the 2022 Inflation Reduction Act (IRA). Under these proposed changes, credits would not be available after 2028, and projects would need to start construction within 60 days of the bill's passage to qualify.</w:t>
      </w:r>
    </w:p>
    <w:p w14:paraId="51000CC7" w14:textId="77777777" w:rsidR="006A6D18" w:rsidRPr="006A6D18" w:rsidRDefault="006A6D18" w:rsidP="006A6D18">
      <w:r w:rsidRPr="006A6D18">
        <w:t>Industry analysts expect these changes to hit wind and storage projects particularly hard, while utility-scale solar is viewed as more resilient due to the strong balance sheets of its developers. Furthermore, the introduction of strict rules regarding "Foreign Entities of Concern" (FEOC)—targeting supply chains linked to China—is making it increasingly difficult for projects to meet domestic content requirements for tax eligibility.</w:t>
      </w:r>
    </w:p>
    <w:p w14:paraId="09F6FFBE" w14:textId="77777777" w:rsidR="006A6D18" w:rsidRPr="006A6D18" w:rsidRDefault="006A6D18" w:rsidP="006A6D18">
      <w:pPr>
        <w:rPr>
          <w:b/>
          <w:bCs/>
        </w:rPr>
      </w:pPr>
      <w:r w:rsidRPr="006A6D18">
        <w:rPr>
          <w:b/>
          <w:bCs/>
        </w:rPr>
        <w:lastRenderedPageBreak/>
        <w:t>Resilience and Adaptation in Canada</w:t>
      </w:r>
    </w:p>
    <w:p w14:paraId="63BDE082" w14:textId="77777777" w:rsidR="006A6D18" w:rsidRPr="006A6D18" w:rsidRDefault="006A6D18" w:rsidP="006A6D18">
      <w:r w:rsidRPr="006A6D18">
        <w:t>Canada has responded to global market shifts by introducing its own suite of Clean Technology Investment Tax Credits, worth approximately $90 billion, aimed at driving clean growth. These credits are designed to provide the long-term certainty that the private sector requires for capital-intensive projects like CCS and large-scale wind farms. Canada is also focusing on the development of critical minerals, recognizing that its territories host the vast deposits of lithium, copper, and nickel required for the global energy transition. Indigenous communities are central to this "Critical Minerals Advantage," as most major deposits and enabling infrastructure are located on Indigenous lands.</w:t>
      </w:r>
    </w:p>
    <w:p w14:paraId="065AB5D2" w14:textId="77777777" w:rsidR="006A6D18" w:rsidRPr="006A6D18" w:rsidRDefault="006A6D18" w:rsidP="006A6D18">
      <w:pPr>
        <w:rPr>
          <w:b/>
          <w:bCs/>
        </w:rPr>
      </w:pPr>
      <w:r w:rsidRPr="006A6D18">
        <w:rPr>
          <w:b/>
          <w:bCs/>
        </w:rPr>
        <w:t>Educational Visualization Strategy: A Framework for Web Integration</w:t>
      </w:r>
    </w:p>
    <w:p w14:paraId="60FDDD8D" w14:textId="77777777" w:rsidR="006A6D18" w:rsidRPr="006A6D18" w:rsidRDefault="006A6D18" w:rsidP="006A6D18">
      <w:r w:rsidRPr="006A6D18">
        <w:t>For a website dedicated to teaching the public about energy, information must be presented through clear, interactive, and high-impact visual aids. Research shows that interactive maps and technical diagrams can reveal patterns and simplify concepts that static text cannot. The following visual strategies are recommended for the different sections of the website.</w:t>
      </w:r>
    </w:p>
    <w:p w14:paraId="06296722" w14:textId="77777777" w:rsidR="006A6D18" w:rsidRPr="006A6D18" w:rsidRDefault="006A6D18" w:rsidP="006A6D18">
      <w:pPr>
        <w:rPr>
          <w:b/>
          <w:bCs/>
        </w:rPr>
      </w:pPr>
      <w:r w:rsidRPr="006A6D18">
        <w:rPr>
          <w:b/>
          <w:bCs/>
        </w:rPr>
        <w:t>1. Interactive Regional Energy Dashboards</w:t>
      </w:r>
    </w:p>
    <w:p w14:paraId="7D662EF5" w14:textId="77777777" w:rsidR="006A6D18" w:rsidRPr="006A6D18" w:rsidRDefault="006A6D18" w:rsidP="006A6D18">
      <w:r w:rsidRPr="006A6D18">
        <w:t>The website should feature a "North American Energy Atlas" using interactive map layers.</w:t>
      </w:r>
    </w:p>
    <w:p w14:paraId="54246244" w14:textId="77777777" w:rsidR="006A6D18" w:rsidRPr="006A6D18" w:rsidRDefault="006A6D18" w:rsidP="006A6D18">
      <w:pPr>
        <w:numPr>
          <w:ilvl w:val="0"/>
          <w:numId w:val="2"/>
        </w:numPr>
      </w:pPr>
      <w:r w:rsidRPr="006A6D18">
        <w:rPr>
          <w:b/>
          <w:bCs/>
        </w:rPr>
        <w:t>Infrastructure Layers:</w:t>
      </w:r>
      <w:r w:rsidRPr="006A6D18">
        <w:t xml:space="preserve"> Users should be able to toggle between wind farms, solar arrays, hydroelectric dams, and transmission lines across Canada and the U.S.</w:t>
      </w:r>
    </w:p>
    <w:p w14:paraId="12DAAEE3" w14:textId="77777777" w:rsidR="006A6D18" w:rsidRPr="006A6D18" w:rsidRDefault="006A6D18" w:rsidP="006A6D18">
      <w:pPr>
        <w:numPr>
          <w:ilvl w:val="0"/>
          <w:numId w:val="2"/>
        </w:numPr>
      </w:pPr>
      <w:r w:rsidRPr="006A6D18">
        <w:rPr>
          <w:b/>
          <w:bCs/>
        </w:rPr>
        <w:t>Real-Time Data Integration:</w:t>
      </w:r>
      <w:r w:rsidRPr="006A6D18">
        <w:t xml:space="preserve"> If possible, integrate API widgets from the EIA or Statistics Canada to show live generation totals for different energy sources.</w:t>
      </w:r>
    </w:p>
    <w:p w14:paraId="6A73E852" w14:textId="77777777" w:rsidR="006A6D18" w:rsidRPr="006A6D18" w:rsidRDefault="006A6D18" w:rsidP="006A6D18">
      <w:pPr>
        <w:numPr>
          <w:ilvl w:val="0"/>
          <w:numId w:val="2"/>
        </w:numPr>
      </w:pPr>
      <w:r w:rsidRPr="006A6D18">
        <w:rPr>
          <w:b/>
          <w:bCs/>
        </w:rPr>
        <w:t>Project Hover-Cards:</w:t>
      </w:r>
      <w:r w:rsidRPr="006A6D18">
        <w:t xml:space="preserve"> Specific projects like the Site C Dam or the </w:t>
      </w:r>
      <w:proofErr w:type="spellStart"/>
      <w:r w:rsidRPr="006A6D18">
        <w:t>SunZia</w:t>
      </w:r>
      <w:proofErr w:type="spellEnd"/>
      <w:r w:rsidRPr="006A6D18">
        <w:t xml:space="preserve"> Wind project should have clickable icons that show capacity, homes powered, and Indigenous partners.</w:t>
      </w:r>
    </w:p>
    <w:p w14:paraId="7BA471EB" w14:textId="77777777" w:rsidR="006A6D18" w:rsidRPr="006A6D18" w:rsidRDefault="006A6D18" w:rsidP="006A6D18">
      <w:pPr>
        <w:rPr>
          <w:b/>
          <w:bCs/>
        </w:rPr>
      </w:pPr>
      <w:r w:rsidRPr="006A6D18">
        <w:rPr>
          <w:b/>
          <w:bCs/>
        </w:rPr>
        <w:t>2. Technical Cutaways for CCS and Storage</w:t>
      </w:r>
    </w:p>
    <w:p w14:paraId="6EB3464B" w14:textId="77777777" w:rsidR="006A6D18" w:rsidRPr="006A6D18" w:rsidRDefault="006A6D18" w:rsidP="006A6D18">
      <w:r w:rsidRPr="006A6D18">
        <w:t>Complex engineering processes are best explained through simplified technical diagrams.</w:t>
      </w:r>
    </w:p>
    <w:p w14:paraId="6E9CAA3F" w14:textId="77777777" w:rsidR="006A6D18" w:rsidRPr="006A6D18" w:rsidRDefault="006A6D18" w:rsidP="006A6D18">
      <w:pPr>
        <w:numPr>
          <w:ilvl w:val="0"/>
          <w:numId w:val="3"/>
        </w:numPr>
      </w:pPr>
      <w:r w:rsidRPr="006A6D18">
        <w:rPr>
          <w:b/>
          <w:bCs/>
        </w:rPr>
        <w:t>The Sequestration Cross-Section:</w:t>
      </w:r>
      <w:r w:rsidRPr="006A6D18">
        <w:t xml:space="preserve"> A 3D cutaway showing the depth of $CO</w:t>
      </w:r>
      <w:proofErr w:type="gramStart"/>
      <w:r w:rsidRPr="006A6D18">
        <w:t>_{2}$</w:t>
      </w:r>
      <w:proofErr w:type="gramEnd"/>
      <w:r w:rsidRPr="006A6D18">
        <w:t xml:space="preserve"> injection (over 2km) relative to drinking water aquifers, illustrating the security provided by cap rock.</w:t>
      </w:r>
    </w:p>
    <w:p w14:paraId="0B3C2E99" w14:textId="77777777" w:rsidR="006A6D18" w:rsidRPr="006A6D18" w:rsidRDefault="006A6D18" w:rsidP="006A6D18">
      <w:pPr>
        <w:numPr>
          <w:ilvl w:val="0"/>
          <w:numId w:val="3"/>
        </w:numPr>
      </w:pPr>
      <w:r w:rsidRPr="006A6D18">
        <w:rPr>
          <w:b/>
          <w:bCs/>
        </w:rPr>
        <w:t>The Battery Charge Cycle:</w:t>
      </w:r>
      <w:r w:rsidRPr="006A6D18">
        <w:t xml:space="preserve"> An animation showing how a BESS unit absorbs solar energy during peak production hours and discharges it during evening peaks, clearly demonstrating the role of storage in grid stability.</w:t>
      </w:r>
    </w:p>
    <w:p w14:paraId="1ED452DD" w14:textId="77777777" w:rsidR="006A6D18" w:rsidRPr="006A6D18" w:rsidRDefault="006A6D18" w:rsidP="006A6D18">
      <w:pPr>
        <w:numPr>
          <w:ilvl w:val="0"/>
          <w:numId w:val="3"/>
        </w:numPr>
      </w:pPr>
      <w:r w:rsidRPr="006A6D18">
        <w:rPr>
          <w:b/>
          <w:bCs/>
        </w:rPr>
        <w:t>Carbon Capture Molecular View:</w:t>
      </w:r>
      <w:r w:rsidRPr="006A6D18">
        <w:t xml:space="preserve"> An educational infographic showing how amine solvents "trap" $CO</w:t>
      </w:r>
      <w:proofErr w:type="gramStart"/>
      <w:r w:rsidRPr="006A6D18">
        <w:t>_{2}$</w:t>
      </w:r>
      <w:proofErr w:type="gramEnd"/>
      <w:r w:rsidRPr="006A6D18">
        <w:t xml:space="preserve"> molecules in post-combustion towers.</w:t>
      </w:r>
    </w:p>
    <w:p w14:paraId="527BB35D" w14:textId="77777777" w:rsidR="006A6D18" w:rsidRPr="006A6D18" w:rsidRDefault="006A6D18" w:rsidP="006A6D18">
      <w:pPr>
        <w:rPr>
          <w:b/>
          <w:bCs/>
        </w:rPr>
      </w:pPr>
      <w:r w:rsidRPr="006A6D18">
        <w:rPr>
          <w:b/>
          <w:bCs/>
        </w:rPr>
        <w:t>3. Socio-Economic Reinvestment Visuals</w:t>
      </w:r>
    </w:p>
    <w:p w14:paraId="6E9CD0C6" w14:textId="77777777" w:rsidR="006A6D18" w:rsidRPr="006A6D18" w:rsidRDefault="006A6D18" w:rsidP="006A6D18">
      <w:r w:rsidRPr="006A6D18">
        <w:t>To highlight the impact of Indigenous and Tribal ownership, the website should focus on community outcomes.</w:t>
      </w:r>
    </w:p>
    <w:p w14:paraId="11021B8B" w14:textId="77777777" w:rsidR="006A6D18" w:rsidRPr="006A6D18" w:rsidRDefault="006A6D18" w:rsidP="006A6D18">
      <w:pPr>
        <w:numPr>
          <w:ilvl w:val="0"/>
          <w:numId w:val="4"/>
        </w:numPr>
      </w:pPr>
      <w:r w:rsidRPr="006A6D18">
        <w:rPr>
          <w:b/>
          <w:bCs/>
        </w:rPr>
        <w:lastRenderedPageBreak/>
        <w:t>The Revenue Circle:</w:t>
      </w:r>
      <w:r w:rsidRPr="006A6D18">
        <w:t xml:space="preserve"> A flow chart showing how energy revenue is reinvested into community services: from $1.00 of revenue, show the percentages going to education funds, healthcare, infrastructure, and further clean energy expansion.</w:t>
      </w:r>
    </w:p>
    <w:p w14:paraId="18E74E48" w14:textId="77777777" w:rsidR="006A6D18" w:rsidRPr="006A6D18" w:rsidRDefault="006A6D18" w:rsidP="006A6D18">
      <w:pPr>
        <w:numPr>
          <w:ilvl w:val="0"/>
          <w:numId w:val="4"/>
        </w:numPr>
      </w:pPr>
      <w:r w:rsidRPr="006A6D18">
        <w:rPr>
          <w:b/>
          <w:bCs/>
        </w:rPr>
        <w:t>Workforce Growth Charts:</w:t>
      </w:r>
      <w:r w:rsidRPr="006A6D18">
        <w:t xml:space="preserve"> Graphs showing the percentage of local/Indigenous labor used in landmark projects like Kayenta (85%) and Moapa.</w:t>
      </w:r>
    </w:p>
    <w:p w14:paraId="7CB2EF21" w14:textId="77777777" w:rsidR="006A6D18" w:rsidRPr="006A6D18" w:rsidRDefault="006A6D18" w:rsidP="006A6D18">
      <w:pPr>
        <w:numPr>
          <w:ilvl w:val="0"/>
          <w:numId w:val="4"/>
        </w:numPr>
      </w:pPr>
      <w:r w:rsidRPr="006A6D18">
        <w:rPr>
          <w:b/>
          <w:bCs/>
        </w:rPr>
        <w:t>Diesel Displacement Counter:</w:t>
      </w:r>
      <w:r w:rsidRPr="006A6D18">
        <w:t xml:space="preserve"> For remote microgrid projects, a live or estimated counter showing the millions of liters of diesel fuel avoided and the corresponding $CO</w:t>
      </w:r>
      <w:proofErr w:type="gramStart"/>
      <w:r w:rsidRPr="006A6D18">
        <w:t>_{2}$</w:t>
      </w:r>
      <w:proofErr w:type="gramEnd"/>
      <w:r w:rsidRPr="006A6D18">
        <w:t xml:space="preserve"> reduction.</w:t>
      </w:r>
    </w:p>
    <w:p w14:paraId="778CB00F" w14:textId="77777777" w:rsidR="006A6D18" w:rsidRPr="006A6D18" w:rsidRDefault="006A6D18" w:rsidP="006A6D18">
      <w:pPr>
        <w:rPr>
          <w:b/>
          <w:bCs/>
        </w:rPr>
      </w:pPr>
      <w:r w:rsidRPr="006A6D18">
        <w:rPr>
          <w:b/>
          <w:bCs/>
        </w:rPr>
        <w:t>Conclusions and Future Outlook</w:t>
      </w:r>
    </w:p>
    <w:p w14:paraId="6B4B1F04" w14:textId="77777777" w:rsidR="006A6D18" w:rsidRPr="006A6D18" w:rsidRDefault="006A6D18" w:rsidP="006A6D18">
      <w:r w:rsidRPr="006A6D18">
        <w:t>The trajectory of the energy systems in Canada and the United States suggests a future that is more decentralized, more electrified, and more reliant on sophisticated carbon management. The data confirms that renewable energy has moved from the periphery to the core of the electricity sector, with wind and solar providing record shares of national generation in both countries. However, the transition remains vulnerable to climate impacts, as seen in Canada’s drought-induced hydroelectric decline, and policy volatility, as seen in the U.S. tax credit debates.</w:t>
      </w:r>
    </w:p>
    <w:p w14:paraId="3BF1C820" w14:textId="77777777" w:rsidR="006A6D18" w:rsidRPr="006A6D18" w:rsidRDefault="006A6D18" w:rsidP="006A6D18">
      <w:r w:rsidRPr="006A6D18">
        <w:t>The most significant evolution is the emergence of a new economic partnership model. The integration of Indigenous and Tribal equity is not merely a social mandate but a strategic necessity for the success of large-scale infrastructure projects. As the demand for reliable, carbon-neutral power grows—driven by the needs of heavy industry and the digital economy—the nations that succeed will be those that effectively combine technical innovation with genuine economic reconciliation. The data from 2024 to 2026 clearly indicates that the foundations for this integrated energy system are currently being laid through massive capacity additions, the build-out of CCS hubs, and a historic expansion of Indigenous energy leadership.</w:t>
      </w:r>
    </w:p>
    <w:p w14:paraId="25B9EA0C" w14:textId="45974E37" w:rsidR="00C121AE" w:rsidRPr="006A6D18" w:rsidRDefault="00C121AE">
      <w:pPr>
        <w:rPr>
          <w:lang w:val="en-US"/>
        </w:rPr>
      </w:pPr>
    </w:p>
    <w:sectPr w:rsidR="00C121AE" w:rsidRPr="006A6D1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06DA3"/>
    <w:multiLevelType w:val="multilevel"/>
    <w:tmpl w:val="C708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884C71"/>
    <w:multiLevelType w:val="multilevel"/>
    <w:tmpl w:val="86249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2D3AE9"/>
    <w:multiLevelType w:val="multilevel"/>
    <w:tmpl w:val="66C8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44796A"/>
    <w:multiLevelType w:val="multilevel"/>
    <w:tmpl w:val="39305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1934956">
    <w:abstractNumId w:val="3"/>
  </w:num>
  <w:num w:numId="2" w16cid:durableId="1134560736">
    <w:abstractNumId w:val="2"/>
  </w:num>
  <w:num w:numId="3" w16cid:durableId="934751425">
    <w:abstractNumId w:val="0"/>
  </w:num>
  <w:num w:numId="4" w16cid:durableId="2456951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D18"/>
    <w:rsid w:val="00217E39"/>
    <w:rsid w:val="005A3454"/>
    <w:rsid w:val="006A6D18"/>
    <w:rsid w:val="00A80790"/>
    <w:rsid w:val="00AA2A4F"/>
    <w:rsid w:val="00C121AE"/>
    <w:rsid w:val="00C4122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BA8A7"/>
  <w15:chartTrackingRefBased/>
  <w15:docId w15:val="{3600897C-1DDF-46CB-BAA1-57ABD81BF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6D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6D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6D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6D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6D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6D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6D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6D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6D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D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6D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6D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6D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6D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6D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6D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6D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6D18"/>
    <w:rPr>
      <w:rFonts w:eastAsiaTheme="majorEastAsia" w:cstheme="majorBidi"/>
      <w:color w:val="272727" w:themeColor="text1" w:themeTint="D8"/>
    </w:rPr>
  </w:style>
  <w:style w:type="paragraph" w:styleId="Title">
    <w:name w:val="Title"/>
    <w:basedOn w:val="Normal"/>
    <w:next w:val="Normal"/>
    <w:link w:val="TitleChar"/>
    <w:uiPriority w:val="10"/>
    <w:qFormat/>
    <w:rsid w:val="006A6D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6D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6D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6D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6D18"/>
    <w:pPr>
      <w:spacing w:before="160"/>
      <w:jc w:val="center"/>
    </w:pPr>
    <w:rPr>
      <w:i/>
      <w:iCs/>
      <w:color w:val="404040" w:themeColor="text1" w:themeTint="BF"/>
    </w:rPr>
  </w:style>
  <w:style w:type="character" w:customStyle="1" w:styleId="QuoteChar">
    <w:name w:val="Quote Char"/>
    <w:basedOn w:val="DefaultParagraphFont"/>
    <w:link w:val="Quote"/>
    <w:uiPriority w:val="29"/>
    <w:rsid w:val="006A6D18"/>
    <w:rPr>
      <w:i/>
      <w:iCs/>
      <w:color w:val="404040" w:themeColor="text1" w:themeTint="BF"/>
    </w:rPr>
  </w:style>
  <w:style w:type="paragraph" w:styleId="ListParagraph">
    <w:name w:val="List Paragraph"/>
    <w:basedOn w:val="Normal"/>
    <w:uiPriority w:val="34"/>
    <w:qFormat/>
    <w:rsid w:val="006A6D18"/>
    <w:pPr>
      <w:ind w:left="720"/>
      <w:contextualSpacing/>
    </w:pPr>
  </w:style>
  <w:style w:type="character" w:styleId="IntenseEmphasis">
    <w:name w:val="Intense Emphasis"/>
    <w:basedOn w:val="DefaultParagraphFont"/>
    <w:uiPriority w:val="21"/>
    <w:qFormat/>
    <w:rsid w:val="006A6D18"/>
    <w:rPr>
      <w:i/>
      <w:iCs/>
      <w:color w:val="2F5496" w:themeColor="accent1" w:themeShade="BF"/>
    </w:rPr>
  </w:style>
  <w:style w:type="paragraph" w:styleId="IntenseQuote">
    <w:name w:val="Intense Quote"/>
    <w:basedOn w:val="Normal"/>
    <w:next w:val="Normal"/>
    <w:link w:val="IntenseQuoteChar"/>
    <w:uiPriority w:val="30"/>
    <w:qFormat/>
    <w:rsid w:val="006A6D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6D18"/>
    <w:rPr>
      <w:i/>
      <w:iCs/>
      <w:color w:val="2F5496" w:themeColor="accent1" w:themeShade="BF"/>
    </w:rPr>
  </w:style>
  <w:style w:type="character" w:styleId="IntenseReference">
    <w:name w:val="Intense Reference"/>
    <w:basedOn w:val="DefaultParagraphFont"/>
    <w:uiPriority w:val="32"/>
    <w:qFormat/>
    <w:rsid w:val="006A6D1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3262</Words>
  <Characters>18596</Characters>
  <Application>Microsoft Office Word</Application>
  <DocSecurity>0</DocSecurity>
  <Lines>154</Lines>
  <Paragraphs>43</Paragraphs>
  <ScaleCrop>false</ScaleCrop>
  <Company/>
  <LinksUpToDate>false</LinksUpToDate>
  <CharactersWithSpaces>21815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Dawson</dc:creator>
  <cp:keywords/>
  <dc:description/>
  <cp:lastModifiedBy>Sam Dawson</cp:lastModifiedBy>
  <cp:revision>1</cp:revision>
  <dcterms:created xsi:type="dcterms:W3CDTF">2026-05-05T04:48:00Z</dcterms:created>
  <dcterms:modified xsi:type="dcterms:W3CDTF">2026-05-05T04:49:00Z</dcterms:modified>
</cp:coreProperties>
</file>