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In July 2020, Twitter hackers socially engineered their way into the accounts of many high-profile users and made posts to trick followers into sending Bitcoin to a scam-wallet. Only one minute after the tweets were up, hundreds of Bitcoin transactions were made causing illicit payments of at least $100,000 USD in just a matter of minutes before the scam was stopped. In addition to the financial losses, the hack resulted in an enormous amount of distrust and panic. Many people, who followed the affected verified accounts, might have believed the scam tweets were actually coming from the real owners, thus, Twitter’s reputation was compromised as well as the trust in social networks.</w:t>
      </w:r>
    </w:p>
    <w:p w:rsidR="00000000" w:rsidDel="00000000" w:rsidP="00000000" w:rsidRDefault="00000000" w:rsidRPr="00000000" w14:paraId="00000002">
      <w:pPr>
        <w:spacing w:line="480" w:lineRule="auto"/>
        <w:rPr>
          <w:sz w:val="24"/>
          <w:szCs w:val="24"/>
        </w:rPr>
      </w:pPr>
      <w:r w:rsidDel="00000000" w:rsidR="00000000" w:rsidRPr="00000000">
        <w:rPr>
          <w:rtl w:val="0"/>
        </w:rPr>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 xml:space="preserve">Moreover, the eventual consequences went far beyond the financial losses. The event pointed out how even the giants of the tech industry are not invulnerable to social engineering and refuted the argument that attackers take advantage of technical flaws since in this case, human error was the factor that enabled the perpetrators to overcome the sophisticated security measures. The breach led Twitter to revisit the company’s internal security policies, employee training, and access control. In general, the attack had broad industry implications as it raised the issue of social engineering in security breach as the main channel for vulnerabilities in humans rather than software that security teams should consider.</w:t>
      </w:r>
    </w:p>
    <w:p w:rsidR="00000000" w:rsidDel="00000000" w:rsidP="00000000" w:rsidRDefault="00000000" w:rsidRPr="00000000" w14:paraId="00000004">
      <w:pPr>
        <w:spacing w:line="480" w:lineRule="auto"/>
        <w:rPr>
          <w:sz w:val="24"/>
          <w:szCs w:val="24"/>
        </w:rPr>
      </w:pPr>
      <w:r w:rsidDel="00000000" w:rsidR="00000000" w:rsidRPr="00000000">
        <w:rPr>
          <w:rtl w:val="0"/>
        </w:rPr>
      </w:r>
    </w:p>
    <w:p w:rsidR="00000000" w:rsidDel="00000000" w:rsidP="00000000" w:rsidRDefault="00000000" w:rsidRPr="00000000" w14:paraId="00000005">
      <w:pPr>
        <w:spacing w:line="480" w:lineRule="auto"/>
        <w:rPr>
          <w:sz w:val="24"/>
          <w:szCs w:val="24"/>
        </w:rPr>
      </w:pPr>
      <w:r w:rsidDel="00000000" w:rsidR="00000000" w:rsidRPr="00000000">
        <w:rPr>
          <w:sz w:val="24"/>
          <w:szCs w:val="24"/>
          <w:rtl w:val="0"/>
        </w:rPr>
        <w:t xml:space="preserve">The attack in question might have been avoided or substantially lessened if the organization had in place stronger security measures and practices. Firstly, more stringent employee training on social engineering tricks such as pretexting, phishing, and vishing could have prepared the staff to be more suspicious and doubtful of unverified requests for sensitive access and thus, they would have less likely fallen victim to such an attack. Secondly, the implementation of the least privilege principle more strictly could have limited the number of employees that had access to powerful administrative tools thereby reducing the “blast radius” of any breach. Thirdly, the requirement for some additional authentication (apart from employee login) to be able to get access to critical systems. Manual verification of a second trusted administrator or hardware-based multi-factor authentication would be a step forward in restricting unauthorized access. This is because in this case, even if credentials were compromised, there is still some form of security device in place that can prevent the attackers from gaining full access. Lastly, periodic audits of employee access logs and attempts to check on login activities can help you become aware of an unforeseen situation at an early stage and hence, the possibilities for damage due to a breach are minuscule.</w:t>
      </w:r>
    </w:p>
    <w:p w:rsidR="00000000" w:rsidDel="00000000" w:rsidP="00000000" w:rsidRDefault="00000000" w:rsidRPr="00000000" w14:paraId="00000006">
      <w:pPr>
        <w:spacing w:line="480" w:lineRule="auto"/>
        <w:rPr>
          <w:sz w:val="24"/>
          <w:szCs w:val="24"/>
        </w:rPr>
      </w:pPr>
      <w:r w:rsidDel="00000000" w:rsidR="00000000" w:rsidRPr="00000000">
        <w:rPr>
          <w:rtl w:val="0"/>
        </w:rPr>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 xml:space="preserve">Overall, the breach of the 2020 Twitter attack serves as a social engineering lesson moving away from the direction of technical vulnerabilities to how the human factor is exploited in order to successfully carry out major cyberattacks. They sound as a warning to companies that even with highly technological protection, in the lack of adequate training, strict access policies, and security layers, they can still be manipulated and the outcomes might be ​‍​‌‍​‍‌​‍​‌‍​‍‌devastating.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