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  <w:bookmarkStart w:id="12" w:name="_GoBack"/>
      <w:bookmarkEnd w:id="12"/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2.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用例视图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逻辑视图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在构架方面具有重要意义的设计包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4.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进程视图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5.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部署视图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6.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实现视图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_Toc356851234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7.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数据视图（可选）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_Toc356851235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8.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核心算法设计（可选）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_Toc356851236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</w:t>
      </w:r>
      <w:r>
        <w:rPr>
          <w:rFonts w:hint="eastAsia"/>
          <w:lang w:val="en-US" w:eastAsia="zh-CN"/>
        </w:rPr>
        <w:t>畅游</w:t>
      </w:r>
      <w:r>
        <w:rPr>
          <w:rFonts w:hint="eastAsia"/>
        </w:rPr>
        <w:t>系统进行综合概述，其中会使用多种不同的构架视图来描述</w:t>
      </w:r>
      <w:r>
        <w:rPr>
          <w:rFonts w:hint="eastAsia"/>
          <w:lang w:eastAsia="zh-CN"/>
        </w:rPr>
        <w:t>畅游</w:t>
      </w:r>
      <w:r>
        <w:rPr>
          <w:rFonts w:hint="eastAsia"/>
        </w:rPr>
        <w:t>系统的各个方面。它用于记录并表述已对</w:t>
      </w:r>
      <w:r>
        <w:rPr>
          <w:rFonts w:hint="eastAsia"/>
          <w:lang w:eastAsia="zh-CN"/>
        </w:rPr>
        <w:t>畅游</w:t>
      </w:r>
      <w:r>
        <w:rPr>
          <w:rFonts w:hint="eastAsia"/>
        </w:rPr>
        <w:t>系统的构架方面作出的重要决策。</w:t>
      </w:r>
    </w:p>
    <w:p>
      <w:pPr>
        <w:ind w:left="720"/>
      </w:pP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widowControl/>
        <w:spacing w:line="240" w:lineRule="auto"/>
        <w:rPr>
          <w:rFonts w:hAnsi="宋体" w:cs="宋体"/>
          <w:snapToGrid/>
          <w:sz w:val="20"/>
          <w:szCs w:val="20"/>
        </w:rPr>
      </w:pPr>
      <w:r>
        <w:rPr>
          <w:rFonts w:hAnsi="宋体" w:cs="宋体"/>
          <w:snapToGrid/>
          <w:sz w:val="20"/>
          <w:szCs w:val="20"/>
        </w:rPr>
        <w:drawing>
          <wp:inline distT="0" distB="0" distL="0" distR="0">
            <wp:extent cx="5718175" cy="4033520"/>
            <wp:effectExtent l="0" t="0" r="9525" b="5080"/>
            <wp:docPr id="15" name="图片 15" descr="C:\Users\陆宸\AppData\Roaming\Tencent\Users\2979251257\QQ\WinTemp\RichOle\RDQ6ZP{]}PBVJ]HI{DKG)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陆宸\AppData\Roaming\Tencent\Users\2979251257\QQ\WinTemp\RichOle\RDQ6ZP{]}PBVJ]HI{DKG)}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360"/>
        <w:rPr>
          <w:rFonts w:hAnsi="宋体" w:cs="宋体"/>
          <w:snapToGrid/>
          <w:sz w:val="20"/>
          <w:szCs w:val="20"/>
        </w:rPr>
      </w:pPr>
      <w:r>
        <w:rPr>
          <w:rFonts w:hAnsi="宋体" w:cs="宋体"/>
          <w:snapToGrid/>
          <w:sz w:val="20"/>
          <w:szCs w:val="20"/>
        </w:rPr>
        <w:t>在畅游项目中</w:t>
      </w:r>
      <w:r>
        <w:rPr>
          <w:rFonts w:hint="eastAsia" w:hAnsi="宋体" w:cs="宋体"/>
          <w:snapToGrid/>
          <w:sz w:val="20"/>
          <w:szCs w:val="20"/>
        </w:rPr>
        <w:t>，</w:t>
      </w:r>
      <w:r>
        <w:rPr>
          <w:rFonts w:hAnsi="宋体" w:cs="宋体"/>
          <w:snapToGrid/>
          <w:sz w:val="20"/>
          <w:szCs w:val="20"/>
        </w:rPr>
        <w:t>最核心的功能无疑是用户旅行攻略的发布和浏览</w:t>
      </w:r>
      <w:r>
        <w:rPr>
          <w:rFonts w:hint="eastAsia" w:hAnsi="宋体" w:cs="宋体"/>
          <w:snapToGrid/>
          <w:sz w:val="20"/>
          <w:szCs w:val="20"/>
        </w:rPr>
        <w:t>，</w:t>
      </w:r>
      <w:r>
        <w:rPr>
          <w:rFonts w:hAnsi="宋体" w:cs="宋体"/>
          <w:snapToGrid/>
          <w:sz w:val="20"/>
          <w:szCs w:val="20"/>
        </w:rPr>
        <w:t>我们还为用户提供了评论互动的功能</w:t>
      </w:r>
      <w:r>
        <w:rPr>
          <w:rFonts w:hint="eastAsia" w:hAnsi="宋体" w:cs="宋体"/>
          <w:snapToGrid/>
          <w:sz w:val="20"/>
          <w:szCs w:val="20"/>
        </w:rPr>
        <w:t>，</w:t>
      </w:r>
      <w:r>
        <w:rPr>
          <w:rFonts w:hAnsi="宋体" w:cs="宋体"/>
          <w:snapToGrid/>
          <w:sz w:val="20"/>
          <w:szCs w:val="20"/>
        </w:rPr>
        <w:t>管理员可以对这些攻略进行管理和删除</w:t>
      </w:r>
      <w:r>
        <w:rPr>
          <w:rFonts w:hint="eastAsia" w:hAnsi="宋体" w:cs="宋体"/>
          <w:snapToGrid/>
          <w:sz w:val="20"/>
          <w:szCs w:val="20"/>
        </w:rPr>
        <w:t>。</w:t>
      </w:r>
    </w:p>
    <w:p>
      <w:pPr>
        <w:widowControl/>
        <w:spacing w:line="240" w:lineRule="auto"/>
        <w:rPr>
          <w:rFonts w:hAnsi="宋体" w:cs="宋体"/>
          <w:snapToGrid/>
          <w:sz w:val="20"/>
          <w:szCs w:val="20"/>
        </w:rPr>
      </w:pPr>
      <w:r>
        <w:rPr>
          <w:rFonts w:hAnsi="宋体" w:cs="宋体"/>
          <w:snapToGrid/>
          <w:sz w:val="20"/>
          <w:szCs w:val="20"/>
        </w:rPr>
        <w:drawing>
          <wp:inline distT="0" distB="0" distL="0" distR="0">
            <wp:extent cx="5902960" cy="2910840"/>
            <wp:effectExtent l="0" t="0" r="2540" b="10160"/>
            <wp:docPr id="19" name="图片 7" descr="C:\Users\陆宸\AppData\Roaming\Tencent\Users\2979251257\QQ\WinTemp\RichOle\`V`)M{T(0`S41M(}DZRF~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C:\Users\陆宸\AppData\Roaming\Tencent\Users\2979251257\QQ\WinTemp\RichOle\`V`)M{T(0`S41M(}DZRF~9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int="eastAsia" w:hAnsi="宋体" w:cs="宋体"/>
          <w:snapToGrid/>
          <w:sz w:val="20"/>
          <w:szCs w:val="20"/>
        </w:rPr>
      </w:pPr>
      <w:r>
        <w:rPr>
          <w:rFonts w:hAnsi="宋体" w:cs="宋体"/>
          <w:snapToGrid/>
          <w:sz w:val="20"/>
          <w:szCs w:val="20"/>
        </w:rPr>
        <w:tab/>
      </w:r>
      <w:r>
        <w:rPr>
          <w:rFonts w:hAnsi="宋体" w:cs="宋体"/>
          <w:snapToGrid/>
          <w:sz w:val="20"/>
          <w:szCs w:val="20"/>
        </w:rPr>
        <w:t>管理员在项目中同时承担了发布旅游路线的角色</w:t>
      </w:r>
      <w:r>
        <w:rPr>
          <w:rFonts w:hint="eastAsia" w:hAnsi="宋体" w:cs="宋体"/>
          <w:snapToGrid/>
          <w:sz w:val="20"/>
          <w:szCs w:val="20"/>
        </w:rPr>
        <w:t>，</w:t>
      </w:r>
      <w:r>
        <w:rPr>
          <w:rFonts w:hAnsi="宋体" w:cs="宋体"/>
          <w:snapToGrid/>
          <w:sz w:val="20"/>
          <w:szCs w:val="20"/>
        </w:rPr>
        <w:t>他们可以给路线添加各种不同的tag以便用户通过tag来寻找他们需要的路线</w:t>
      </w:r>
      <w:r>
        <w:rPr>
          <w:rFonts w:hint="eastAsia" w:hAnsi="宋体" w:cs="宋体"/>
          <w:snapToGrid/>
          <w:sz w:val="20"/>
          <w:szCs w:val="20"/>
        </w:rPr>
        <w:t>。</w:t>
      </w:r>
      <w:r>
        <w:rPr>
          <w:rFonts w:hAnsi="宋体" w:cs="宋体"/>
          <w:snapToGrid/>
          <w:sz w:val="20"/>
          <w:szCs w:val="20"/>
        </w:rPr>
        <w:t>管理员可以对已发布的路线进行修改或删除</w:t>
      </w:r>
      <w:r>
        <w:rPr>
          <w:rFonts w:hint="eastAsia" w:hAnsi="宋体" w:cs="宋体"/>
          <w:snapToGrid/>
          <w:sz w:val="20"/>
          <w:szCs w:val="20"/>
        </w:rPr>
        <w:t>，</w:t>
      </w:r>
      <w:r>
        <w:rPr>
          <w:rFonts w:hAnsi="宋体" w:cs="宋体"/>
          <w:snapToGrid/>
          <w:sz w:val="20"/>
          <w:szCs w:val="20"/>
        </w:rPr>
        <w:t>用户则可以在下面发表自己的评论</w:t>
      </w:r>
      <w:r>
        <w:rPr>
          <w:rFonts w:hint="eastAsia" w:hAnsi="宋体" w:cs="宋体"/>
          <w:snapToGrid/>
          <w:sz w:val="20"/>
          <w:szCs w:val="20"/>
        </w:rPr>
        <w:t>。</w:t>
      </w:r>
    </w:p>
    <w:p/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程序的逻辑采用</w:t>
      </w:r>
      <w:r>
        <w:rPr>
          <w:rFonts w:hint="eastAsia"/>
          <w:lang w:val="en-US" w:eastAsia="zh-CN"/>
        </w:rPr>
        <w:t>SSH框架。Clients包含在浏览器中运行的脚本和Applet等，Webpages包含Web静态页面及其他静态素材，servlet包含处理客户端请求的类。Springclasses包含Spring实现的业务逻辑层，Hibernate Classes包含hibernate orm映射机制sql数据持久层操作的类，Utilities包含若干贯穿系统各个部分的诸如服务类Transaction Service和数据库连接服务类Connection Service这样的公共服务类。</w:t>
      </w:r>
    </w:p>
    <w:p>
      <w:pPr>
        <w:keepNext w:val="0"/>
        <w:keepLines w:val="0"/>
        <w:widowControl/>
        <w:suppressLineNumbers w:val="0"/>
        <w:jc w:val="left"/>
      </w:pPr>
      <w:bookmarkStart w:id="6" w:name="_Toc356851231"/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instrText xml:space="preserve">INCLUDEPICTURE \d "C:\\Users\\jinxueyi\\AppData\\Roaming\\Tencent\\Users\\2609888962\\QQ\\WinTemp\\RichOle\\YZG(_{RA4DCIUH6_38U5_I3.png" \* MERGEFORMATINET </w:instrText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2250" cy="1529715"/>
            <wp:effectExtent l="0" t="0" r="635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以下是典型的一个通过ssh框架处理客户端请求的逻辑视图。</w:t>
      </w:r>
    </w:p>
    <w:p>
      <w:pPr>
        <w:keepNext w:val="0"/>
        <w:keepLines w:val="0"/>
        <w:widowControl/>
        <w:suppressLineNumbers w:val="0"/>
        <w:jc w:val="left"/>
      </w:pPr>
      <w:bookmarkStart w:id="7" w:name="_Toc356851232"/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instrText xml:space="preserve">INCLUDEPICTURE \d "C:\\Users\\jinxueyi\\AppData\\Roaming\\Tencent\\Users\\2609888962\\QQ\\WinTemp\\RichOle\\DL`(OQ3~T6A[3C@R4M@YIS9.png" \* MERGEFORMATINET </w:instrText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7125" cy="1738630"/>
            <wp:effectExtent l="0" t="0" r="3175" b="127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ind w:left="360" w:hanging="360"/>
      </w:pPr>
      <w:r>
        <w:rPr>
          <w:rFonts w:hint="eastAsia"/>
        </w:rPr>
        <w:t>进程视图</w:t>
      </w:r>
      <w:bookmarkEnd w:id="7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14"/>
        <w:ind w:left="0" w:leftChars="0"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畅游作为一个</w:t>
      </w:r>
      <w:r>
        <w:rPr>
          <w:rFonts w:hint="eastAsia"/>
          <w:lang w:val="en-US" w:eastAsia="zh-CN"/>
        </w:rPr>
        <w:t>B/S架构的网络应用，进程视图也比较简单。每个客户通过浏览器发送请求与服务器进行交互，服务器会处理接收到的大量请求。同时这些请求会产生到更多的数据库事务，同时对服务器端以及数据库造成资源压力。客户浏览器通过网络与服务器交互，服务器与数据库亦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instrText xml:space="preserve">INCLUDEPICTURE \d "C:\\Users\\jinxueyi\\AppData\\Roaming\\Tencent\\Users\\2609888962\\QQ\\WinTemp\\RichOle\\N$F7Q%NMF(BUT}7L%R1B5}4.png" \* MERGEFORMATINET </w:instrText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5410" cy="2205355"/>
            <wp:effectExtent l="0" t="0" r="889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4"/>
        <w:ind w:left="0" w:leftChars="0" w:firstLine="0" w:firstLineChars="0"/>
      </w:pPr>
    </w:p>
    <w:p>
      <w:pPr>
        <w:pStyle w:val="2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>
      <w:pPr>
        <w:ind w:left="360" w:hanging="360"/>
        <w:rPr>
          <w:rFonts w:hint="eastAsia" w:asciiTheme="minorEastAsia" w:hAnsiTheme="minorEastAsia" w:eastAsiaTheme="minorEastAsia" w:cstheme="minorEastAsia"/>
        </w:rPr>
      </w:pPr>
      <w:bookmarkStart w:id="9" w:name="_Toc356851234"/>
      <w:r>
        <w:rPr>
          <w:rFonts w:ascii="PMingLiU" w:hAnsi="PMingLiU" w:eastAsia="PMingLiU"/>
          <w:color w:val="000000"/>
          <w:lang w:eastAsia="zh-CN"/>
        </w:rPr>
        <w:drawing>
          <wp:inline distT="0" distB="0" distL="0" distR="0">
            <wp:extent cx="4905375" cy="5238750"/>
            <wp:effectExtent l="0" t="0" r="9525" b="6350"/>
            <wp:docPr id="1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bidi w:val="0"/>
        <w:spacing w:line="240" w:lineRule="atLeast"/>
        <w:ind w:left="360" w:hanging="360"/>
        <w:rPr>
          <w:rFonts w:hint="eastAsia" w:asciiTheme="minorEastAsia" w:hAnsiTheme="minorEastAsia" w:eastAsiaTheme="minorEastAsia" w:cstheme="minorEastAsia"/>
          <w:color w:val="00000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因本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项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目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为轻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量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级项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目，服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务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器、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数据库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后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台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运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算皆在同一台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电脑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上，故部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属视图简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化如上。</w:t>
      </w:r>
    </w:p>
    <w:p>
      <w:pPr>
        <w:widowControl w:val="0"/>
        <w:bidi w:val="0"/>
        <w:spacing w:line="240" w:lineRule="atLeast"/>
        <w:ind w:left="360" w:hanging="36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附上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val="en-US" w:eastAsia="zh-CN" w:bidi="ar-SA"/>
        </w:rPr>
        <w:t>详细电脑规</w:t>
      </w:r>
      <w:r>
        <w:rPr>
          <w:rFonts w:hint="eastAsia" w:asciiTheme="minorEastAsia" w:hAnsiTheme="minorEastAsia" w:eastAsiaTheme="minorEastAsia" w:cstheme="minorEastAsia"/>
          <w:color w:val="000000"/>
          <w:lang w:eastAsia="zh-CN"/>
        </w:rPr>
        <w:t>格:</w:t>
      </w:r>
    </w:p>
    <w:tbl>
      <w:tblPr>
        <w:tblStyle w:val="36"/>
        <w:tblW w:w="936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4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ind w:left="360" w:hanging="360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CPU</w:t>
            </w:r>
          </w:p>
        </w:tc>
        <w:tc>
          <w:tcPr>
            <w:tcW w:w="4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ind w:left="360" w:hanging="360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i7-4710MQ 2.5GHz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468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55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RAM</w:t>
            </w:r>
          </w:p>
        </w:tc>
        <w:tc>
          <w:tcPr>
            <w:tcW w:w="46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55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DDR3L 1600MHz 8G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68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55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NetWork Card</w:t>
            </w:r>
          </w:p>
        </w:tc>
        <w:tc>
          <w:tcPr>
            <w:tcW w:w="46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55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QCA871 Gigabit Ethernet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68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55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motherboardLenovo</w:t>
            </w:r>
          </w:p>
        </w:tc>
        <w:tc>
          <w:tcPr>
            <w:tcW w:w="46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55"/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/>
              </w:rPr>
              <w:t>Lenovo BIQY0</w:t>
            </w:r>
          </w:p>
        </w:tc>
      </w:tr>
    </w:tbl>
    <w:p>
      <w:pPr>
        <w:pStyle w:val="2"/>
        <w:ind w:left="360" w:hanging="360"/>
      </w:pPr>
      <w:r>
        <w:rPr>
          <w:rFonts w:hint="eastAsia"/>
        </w:rPr>
        <w:t>实现视图</w:t>
      </w:r>
      <w:bookmarkEnd w:id="9"/>
    </w:p>
    <w:p>
      <w:pPr>
        <w:ind w:left="360" w:hanging="360"/>
      </w:pPr>
    </w:p>
    <w:p>
      <w:pPr>
        <w:ind w:left="360" w:hanging="360"/>
      </w:pPr>
    </w:p>
    <w:p>
      <w:pPr>
        <w:ind w:left="360" w:hanging="360"/>
      </w:pPr>
      <w:r>
        <w:rPr>
          <w:rFonts w:ascii="PMingLiU" w:hAnsi="PMingLiU" w:eastAsia="PMingLiU"/>
          <w:color w:val="000000"/>
          <w:lang w:eastAsia="zh-C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12310"/>
            <wp:effectExtent l="0" t="0" r="0" b="8890"/>
            <wp:wrapSquare wrapText="largest"/>
            <wp:docPr id="5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60" w:hanging="360"/>
      </w:pPr>
    </w:p>
    <w:p>
      <w:pPr>
        <w:ind w:left="360" w:hanging="360"/>
      </w:pPr>
    </w:p>
    <w:p>
      <w:pPr>
        <w:ind w:left="360" w:hanging="360"/>
      </w:pPr>
    </w:p>
    <w:p>
      <w:pPr>
        <w:ind w:left="360" w:hanging="360"/>
      </w:pPr>
    </w:p>
    <w:p>
      <w:pPr>
        <w:pStyle w:val="47"/>
        <w:widowControl w:val="0"/>
        <w:bidi w:val="0"/>
        <w:spacing w:before="0" w:after="120" w:line="240" w:lineRule="atLeast"/>
        <w:ind w:left="720" w:firstLine="0"/>
        <w:rPr>
          <w:rFonts w:hint="eastAsia" w:asciiTheme="minorEastAsia" w:hAnsiTheme="minorEastAsia" w:eastAsiaTheme="minorEastAsia" w:cstheme="minorEastAsia"/>
          <w:i w:val="0"/>
          <w:iCs/>
          <w:color w:val="00000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利用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陈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昊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鹏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老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师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所授，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将网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站分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为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ACTION SERVICE DAO三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层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将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所需完成任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务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由ACTION往SERVICE做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请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求，再逐步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执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行至DAO曾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与数据库连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接返回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 w:val="20"/>
          <w:szCs w:val="20"/>
          <w:lang w:val="en-US" w:eastAsia="zh-CN" w:bidi="ar-SA"/>
        </w:rPr>
        <w:t>结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lang w:eastAsia="zh-CN"/>
        </w:rPr>
        <w:t>果。</w:t>
      </w:r>
    </w:p>
    <w:p/>
    <w:p>
      <w:pPr>
        <w:pStyle w:val="2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11" w:name="_Toc356851236"/>
      <w:r>
        <w:rPr>
          <w:rFonts w:hint="eastAsia"/>
        </w:rPr>
        <w:t>核心算法设计（可选）</w:t>
      </w:r>
      <w:bookmarkEnd w:id="11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Adobe 明體 Std L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1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PAGE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rFonts w:ascii="Times New Roman"/>
              <w:lang/>
            </w:rPr>
            <w:t>3</w:t>
          </w:r>
          <w:r>
            <w:rPr>
              <w:rStyle w:val="32"/>
              <w:rFonts w:ascii="Times New Roman"/>
              <w:lang/>
            </w:rPr>
            <w:fldChar w:fldCharType="end"/>
          </w:r>
          <w:r>
            <w:rPr>
              <w:rStyle w:val="32"/>
              <w:rFonts w:ascii="Times New Roman"/>
              <w:lang/>
            </w:rPr>
            <w:t xml:space="preserve"> of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NUMPAGES  \* MERGEFORMAT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lang/>
            </w:rPr>
            <w:t>5</w:t>
          </w:r>
          <w:r>
            <w:rPr>
              <w:rStyle w:val="32"/>
              <w:rFonts w:ascii="Times New Roman"/>
              <w:lang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F4074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32DE4E2B"/>
    <w:rsid w:val="51F46CD5"/>
    <w:rsid w:val="5F325F76"/>
    <w:rsid w:val="69AF4074"/>
    <w:rsid w:val="77323BD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  <w:style w:type="paragraph" w:customStyle="1" w:styleId="55">
    <w:name w:val="表格內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xueyi\Documents\SJTU\2.2\&#39033;&#30446;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ScaleCrop>false</ScaleCrop>
  <LinksUpToDate>false</LinksUpToDate>
  <CharactersWithSpaces>1553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2017-09-10T12:23:00Z</dcterms:created>
  <dc:creator>jinxueyi</dc:creator>
  <cp:lastModifiedBy>jinxueyi</cp:lastModifiedBy>
  <dcterms:modified xsi:type="dcterms:W3CDTF">2017-09-10T15:38:03Z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2052-10.1.0.6156</vt:lpwstr>
  </property>
</Properties>
</file>