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0"/>
        <w:jc w:val="center"/>
        <w:rPr/>
      </w:pPr>
      <w:r>
        <w:rPr/>
      </w:r>
    </w:p>
    <w:p>
      <w:pPr>
        <w:pStyle w:val="Normal"/>
        <w:spacing w:before="0" w:after="80"/>
        <w:jc w:val="center"/>
        <w:rPr/>
      </w:pPr>
      <w:r>
        <w:rPr>
          <w:rFonts w:eastAsia="Arial" w:cs="Arial"/>
          <w:b/>
          <w:bCs/>
          <w:color w:val="1F3A5F"/>
          <w:sz w:val="36"/>
          <w:szCs w:val="36"/>
        </w:rPr>
        <w:t>INFORME DE SEGURIDAD Y CALIDAD</w:t>
      </w:r>
    </w:p>
    <w:p>
      <w:pPr>
        <w:pStyle w:val="Normal"/>
        <w:spacing w:before="0" w:after="400"/>
        <w:jc w:val="center"/>
        <w:rPr/>
      </w:pPr>
      <w:r>
        <w:rPr>
          <w:rFonts w:eastAsia="Arial" w:cs="Arial"/>
          <w:b/>
          <w:bCs/>
          <w:color w:val="1F3A5F"/>
          <w:sz w:val="36"/>
          <w:szCs w:val="36"/>
        </w:rPr>
        <w:t>EN EL DESARROLLO DE SOFTWARE</w:t>
      </w:r>
    </w:p>
    <w:p>
      <w:pPr>
        <w:pStyle w:val="Normal"/>
        <w:spacing w:before="0" w:after="120"/>
        <w:jc w:val="center"/>
        <w:rPr/>
      </w:pPr>
      <w:r>
        <w:rPr>
          <w:rFonts w:eastAsia="Arial" w:cs="Arial"/>
          <w:b w:val="false"/>
          <w:bCs w:val="false"/>
          <w:sz w:val="28"/>
          <w:szCs w:val="28"/>
        </w:rPr>
        <w:t>Plan de pruebas del Sistema de Gestión Atlas</w:t>
      </w:r>
    </w:p>
    <w:p>
      <w:pPr>
        <w:pStyle w:val="Normal"/>
        <w:spacing w:before="0" w:after="1400"/>
        <w:jc w:val="center"/>
        <w:rPr/>
      </w:pPr>
      <w:r>
        <w:rPr>
          <w:rFonts w:eastAsia="Arial" w:cs="Arial"/>
          <w:b w:val="false"/>
          <w:bCs w:val="false"/>
          <w:sz w:val="22"/>
          <w:szCs w:val="22"/>
        </w:rPr>
        <w:t>Evaluación Parcial N°1 – Informe semestral, iteración 1 (Forma A)</w:t>
      </w:r>
    </w:p>
    <w:p>
      <w:pPr>
        <w:pStyle w:val="Normal"/>
        <w:spacing w:before="0" w:after="120"/>
        <w:jc w:val="center"/>
        <w:rPr/>
      </w:pPr>
      <w:r>
        <w:rPr>
          <w:rFonts w:eastAsia="Arial" w:cs="Arial"/>
          <w:b/>
          <w:bCs/>
          <w:sz w:val="22"/>
          <w:szCs w:val="22"/>
        </w:rPr>
        <w:t>ISY1102 – Seguridad y Calidad en el Desarrollo de Software</w:t>
      </w:r>
    </w:p>
    <w:p>
      <w:pPr>
        <w:pStyle w:val="Normal"/>
        <w:spacing w:before="0" w:after="120"/>
        <w:jc w:val="center"/>
        <w:rPr/>
      </w:pPr>
      <w:r>
        <w:rPr>
          <w:rFonts w:eastAsia="Arial" w:cs="Arial"/>
          <w:b w:val="false"/>
          <w:bCs w:val="false"/>
          <w:sz w:val="22"/>
          <w:szCs w:val="22"/>
        </w:rPr>
        <w:t>Sección 004V</w:t>
      </w:r>
    </w:p>
    <w:p>
      <w:pPr>
        <w:pStyle w:val="Normal"/>
        <w:spacing w:before="0" w:after="600"/>
        <w:jc w:val="center"/>
        <w:rPr/>
      </w:pPr>
      <w:r>
        <w:rPr>
          <w:rFonts w:eastAsia="Arial" w:cs="Arial"/>
          <w:b w:val="false"/>
          <w:bCs w:val="false"/>
          <w:sz w:val="22"/>
          <w:szCs w:val="22"/>
        </w:rPr>
        <w:t>Duoc UC – Escuela de Informática y Telecomunicaciones</w:t>
      </w:r>
    </w:p>
    <w:p>
      <w:pPr>
        <w:pStyle w:val="Normal"/>
        <w:spacing w:before="0" w:after="80"/>
        <w:jc w:val="center"/>
        <w:rPr/>
      </w:pPr>
      <w:r>
        <w:rPr>
          <w:rFonts w:eastAsia="Arial" w:cs="Arial"/>
          <w:b/>
          <w:bCs/>
          <w:sz w:val="22"/>
          <w:szCs w:val="22"/>
        </w:rPr>
        <w:t>Integrantes</w:t>
      </w:r>
    </w:p>
    <w:p>
      <w:pPr>
        <w:pStyle w:val="Normal"/>
        <w:spacing w:before="0" w:after="40"/>
        <w:jc w:val="center"/>
        <w:rPr/>
      </w:pPr>
      <w:r>
        <w:rPr>
          <w:rFonts w:eastAsia="Arial" w:cs="Arial"/>
          <w:b w:val="false"/>
          <w:bCs w:val="false"/>
          <w:sz w:val="22"/>
          <w:szCs w:val="22"/>
        </w:rPr>
        <w:t>Elías Robinson Delgado Manríquez</w:t>
      </w:r>
    </w:p>
    <w:p>
      <w:pPr>
        <w:pStyle w:val="Normal"/>
        <w:spacing w:before="0" w:after="500"/>
        <w:jc w:val="center"/>
        <w:rPr/>
      </w:pPr>
      <w:r>
        <w:rPr>
          <w:rFonts w:eastAsia="Arial" w:cs="Arial"/>
          <w:b w:val="false"/>
          <w:bCs w:val="false"/>
          <w:sz w:val="22"/>
          <w:szCs w:val="22"/>
        </w:rPr>
        <w:t>Rolando Aldana</w:t>
      </w:r>
    </w:p>
    <w:p>
      <w:pPr>
        <w:pStyle w:val="Normal"/>
        <w:spacing w:before="0" w:after="80"/>
        <w:jc w:val="center"/>
        <w:rPr/>
      </w:pPr>
      <w:r>
        <w:rPr>
          <w:rFonts w:eastAsia="Arial" w:cs="Arial"/>
          <w:b w:val="false"/>
          <w:bCs w:val="false"/>
          <w:sz w:val="22"/>
          <w:szCs w:val="22"/>
        </w:rPr>
        <w:t>Carrera: Ingeniería en Informática</w:t>
      </w:r>
    </w:p>
    <w:p>
      <w:pPr>
        <w:pStyle w:val="Normal"/>
        <w:spacing w:before="0" w:after="80"/>
        <w:jc w:val="center"/>
        <w:rPr/>
      </w:pPr>
      <w:r>
        <w:rPr>
          <w:rFonts w:eastAsia="Arial" w:cs="Arial"/>
          <w:b w:val="false"/>
          <w:bCs w:val="false"/>
          <w:sz w:val="22"/>
          <w:szCs w:val="22"/>
        </w:rPr>
        <w:t>Docente: Johnnathan René Cubillos Flores</w:t>
      </w:r>
    </w:p>
    <w:p>
      <w:pPr>
        <w:pStyle w:val="Normal"/>
        <w:spacing w:before="0" w:after="80"/>
        <w:jc w:val="center"/>
        <w:rPr/>
      </w:pPr>
      <w:r>
        <w:rPr>
          <w:rFonts w:eastAsia="Arial" w:cs="Arial"/>
          <w:b w:val="false"/>
          <w:bCs w:val="false"/>
          <w:sz w:val="22"/>
          <w:szCs w:val="22"/>
        </w:rPr>
        <w:t>Fecha: 15 de septiembre de 2026</w:t>
      </w:r>
    </w:p>
    <w:p>
      <w:pPr>
        <w:pStyle w:val="Normal"/>
        <w:rPr/>
      </w:pPr>
      <w:r>
        <w:rPr/>
      </w:r>
      <w:r>
        <w:br w:type="page"/>
      </w:r>
    </w:p>
    <w:p>
      <w:pPr>
        <w:pStyle w:val="Normal"/>
        <w:spacing w:before="0" w:after="200"/>
        <w:rPr/>
      </w:pPr>
      <w:r>
        <w:rPr>
          <w:rFonts w:eastAsia="Arial" w:cs="Arial"/>
          <w:b/>
          <w:bCs/>
          <w:color w:val="1F3A5F"/>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3432_158910726">
            <w:r>
              <w:rPr>
                <w:rStyle w:val="IndexLink"/>
              </w:rPr>
              <w:t>1. Introducción</w:t>
              <w:tab/>
              <w:t>4</w:t>
            </w:r>
          </w:hyperlink>
        </w:p>
        <w:p>
          <w:pPr>
            <w:pStyle w:val="TOC2"/>
            <w:tabs>
              <w:tab w:val="clear" w:pos="8743"/>
              <w:tab w:val="right" w:pos="9025" w:leader="dot"/>
            </w:tabs>
            <w:rPr/>
          </w:pPr>
          <w:hyperlink w:anchor="__RefHeading___Toc3434_158910726">
            <w:r>
              <w:rPr>
                <w:rStyle w:val="IndexLink"/>
              </w:rPr>
              <w:t>1.1 Contexto del software</w:t>
              <w:tab/>
              <w:t>4</w:t>
            </w:r>
          </w:hyperlink>
        </w:p>
        <w:p>
          <w:pPr>
            <w:pStyle w:val="TOC2"/>
            <w:tabs>
              <w:tab w:val="clear" w:pos="8743"/>
              <w:tab w:val="right" w:pos="9025" w:leader="dot"/>
            </w:tabs>
            <w:rPr/>
          </w:pPr>
          <w:hyperlink w:anchor="__RefHeading___Toc3436_158910726">
            <w:r>
              <w:rPr>
                <w:rStyle w:val="IndexLink"/>
              </w:rPr>
              <w:t>1.2 Clasificación del producto</w:t>
              <w:tab/>
              <w:t>4</w:t>
            </w:r>
          </w:hyperlink>
        </w:p>
        <w:p>
          <w:pPr>
            <w:pStyle w:val="TOC2"/>
            <w:tabs>
              <w:tab w:val="clear" w:pos="8743"/>
              <w:tab w:val="right" w:pos="9025" w:leader="dot"/>
            </w:tabs>
            <w:rPr/>
          </w:pPr>
          <w:hyperlink w:anchor="__RefHeading___Toc3438_158910726">
            <w:r>
              <w:rPr>
                <w:rStyle w:val="IndexLink"/>
              </w:rPr>
              <w:t>1.3 Propósito del plan de pruebas</w:t>
              <w:tab/>
              <w:t>4</w:t>
            </w:r>
          </w:hyperlink>
        </w:p>
        <w:p>
          <w:pPr>
            <w:pStyle w:val="TOC2"/>
            <w:tabs>
              <w:tab w:val="clear" w:pos="8743"/>
              <w:tab w:val="right" w:pos="9025" w:leader="dot"/>
            </w:tabs>
            <w:rPr/>
          </w:pPr>
          <w:hyperlink w:anchor="__RefHeading___Toc3440_158910726">
            <w:r>
              <w:rPr>
                <w:rStyle w:val="IndexLink"/>
              </w:rPr>
              <w:t>1.4 Alcance</w:t>
              <w:tab/>
              <w:t>5</w:t>
            </w:r>
          </w:hyperlink>
        </w:p>
        <w:p>
          <w:pPr>
            <w:pStyle w:val="TOC2"/>
            <w:tabs>
              <w:tab w:val="clear" w:pos="8743"/>
              <w:tab w:val="right" w:pos="9025" w:leader="dot"/>
            </w:tabs>
            <w:rPr/>
          </w:pPr>
          <w:hyperlink w:anchor="__RefHeading___Toc3442_158910726">
            <w:r>
              <w:rPr>
                <w:rStyle w:val="IndexLink"/>
              </w:rPr>
              <w:t>1.5 Estructura del informe</w:t>
              <w:tab/>
              <w:t>5</w:t>
            </w:r>
          </w:hyperlink>
        </w:p>
        <w:p>
          <w:pPr>
            <w:pStyle w:val="TOC1"/>
            <w:tabs>
              <w:tab w:val="clear" w:pos="9026"/>
              <w:tab w:val="right" w:pos="9025" w:leader="dot"/>
            </w:tabs>
            <w:rPr/>
          </w:pPr>
          <w:hyperlink w:anchor="__RefHeading___Toc3444_158910726">
            <w:r>
              <w:rPr>
                <w:rStyle w:val="IndexLink"/>
              </w:rPr>
              <w:t>2. Criterios de calidad, seguridad y cumplimiento normativo</w:t>
              <w:tab/>
              <w:t>5</w:t>
            </w:r>
          </w:hyperlink>
        </w:p>
        <w:p>
          <w:pPr>
            <w:pStyle w:val="TOC2"/>
            <w:tabs>
              <w:tab w:val="clear" w:pos="8743"/>
              <w:tab w:val="right" w:pos="9025" w:leader="dot"/>
            </w:tabs>
            <w:rPr/>
          </w:pPr>
          <w:hyperlink w:anchor="__RefHeading___Toc3446_158910726">
            <w:r>
              <w:rPr>
                <w:rStyle w:val="IndexLink"/>
              </w:rPr>
              <w:t>2.1 Criterios de calidad (ISO/IEC 25010)</w:t>
              <w:tab/>
              <w:t>6</w:t>
            </w:r>
          </w:hyperlink>
        </w:p>
        <w:p>
          <w:pPr>
            <w:pStyle w:val="TOC2"/>
            <w:tabs>
              <w:tab w:val="clear" w:pos="8743"/>
              <w:tab w:val="right" w:pos="9025" w:leader="dot"/>
            </w:tabs>
            <w:rPr/>
          </w:pPr>
          <w:hyperlink w:anchor="__RefHeading___Toc3448_158910726">
            <w:r>
              <w:rPr>
                <w:rStyle w:val="IndexLink"/>
              </w:rPr>
              <w:t>2.2 Criterios de seguridad</w:t>
              <w:tab/>
              <w:t>6</w:t>
            </w:r>
          </w:hyperlink>
        </w:p>
        <w:p>
          <w:pPr>
            <w:pStyle w:val="TOC2"/>
            <w:tabs>
              <w:tab w:val="clear" w:pos="8743"/>
              <w:tab w:val="right" w:pos="9025" w:leader="dot"/>
            </w:tabs>
            <w:rPr/>
          </w:pPr>
          <w:hyperlink w:anchor="__RefHeading___Toc3450_158910726">
            <w:r>
              <w:rPr>
                <w:rStyle w:val="IndexLink"/>
              </w:rPr>
              <w:t>2.3 Cumplimiento normativo</w:t>
              <w:tab/>
              <w:t>7</w:t>
            </w:r>
          </w:hyperlink>
        </w:p>
        <w:p>
          <w:pPr>
            <w:pStyle w:val="TOC2"/>
            <w:tabs>
              <w:tab w:val="clear" w:pos="8743"/>
              <w:tab w:val="right" w:pos="9025" w:leader="dot"/>
            </w:tabs>
            <w:rPr/>
          </w:pPr>
          <w:hyperlink w:anchor="__RefHeading___Toc3452_158910726">
            <w:r>
              <w:rPr>
                <w:rStyle w:val="IndexLink"/>
              </w:rPr>
              <w:t>2.4 Observación crítica sobre la ERS</w:t>
              <w:tab/>
              <w:t>8</w:t>
            </w:r>
          </w:hyperlink>
        </w:p>
        <w:p>
          <w:pPr>
            <w:pStyle w:val="TOC1"/>
            <w:tabs>
              <w:tab w:val="clear" w:pos="9026"/>
              <w:tab w:val="right" w:pos="9025" w:leader="dot"/>
            </w:tabs>
            <w:rPr/>
          </w:pPr>
          <w:hyperlink w:anchor="__RefHeading___Toc3454_158910726">
            <w:r>
              <w:rPr>
                <w:rStyle w:val="IndexLink"/>
              </w:rPr>
              <w:t>3. Tipos de prueba y su justificación</w:t>
              <w:tab/>
              <w:t>9</w:t>
            </w:r>
          </w:hyperlink>
        </w:p>
        <w:p>
          <w:pPr>
            <w:pStyle w:val="TOC2"/>
            <w:tabs>
              <w:tab w:val="clear" w:pos="8743"/>
              <w:tab w:val="right" w:pos="9025" w:leader="dot"/>
            </w:tabs>
            <w:rPr/>
          </w:pPr>
          <w:hyperlink w:anchor="__RefHeading___Toc3456_158910726">
            <w:r>
              <w:rPr>
                <w:rStyle w:val="IndexLink"/>
              </w:rPr>
              <w:t>3.1 Pruebas funcionales</w:t>
              <w:tab/>
              <w:t>9</w:t>
            </w:r>
          </w:hyperlink>
        </w:p>
        <w:p>
          <w:pPr>
            <w:pStyle w:val="TOC2"/>
            <w:tabs>
              <w:tab w:val="clear" w:pos="8743"/>
              <w:tab w:val="right" w:pos="9025" w:leader="dot"/>
            </w:tabs>
            <w:rPr/>
          </w:pPr>
          <w:hyperlink w:anchor="__RefHeading___Toc3458_158910726">
            <w:r>
              <w:rPr>
                <w:rStyle w:val="IndexLink"/>
              </w:rPr>
              <w:t>3.2 Pruebas no funcionales</w:t>
              <w:tab/>
              <w:t>9</w:t>
            </w:r>
          </w:hyperlink>
        </w:p>
        <w:p>
          <w:pPr>
            <w:pStyle w:val="TOC2"/>
            <w:tabs>
              <w:tab w:val="clear" w:pos="8743"/>
              <w:tab w:val="right" w:pos="9025" w:leader="dot"/>
            </w:tabs>
            <w:rPr/>
          </w:pPr>
          <w:hyperlink w:anchor="__RefHeading___Toc3460_158910726">
            <w:r>
              <w:rPr>
                <w:rStyle w:val="IndexLink"/>
              </w:rPr>
              <w:t>3.3 Pruebas de seguridad</w:t>
              <w:tab/>
              <w:t>10</w:t>
            </w:r>
          </w:hyperlink>
        </w:p>
        <w:p>
          <w:pPr>
            <w:pStyle w:val="TOC2"/>
            <w:tabs>
              <w:tab w:val="clear" w:pos="8743"/>
              <w:tab w:val="right" w:pos="9025" w:leader="dot"/>
            </w:tabs>
            <w:rPr/>
          </w:pPr>
          <w:hyperlink w:anchor="__RefHeading___Toc3462_158910726">
            <w:r>
              <w:rPr>
                <w:rStyle w:val="IndexLink"/>
              </w:rPr>
              <w:t>3.4 Justificación de la selección</w:t>
              <w:tab/>
              <w:t>11</w:t>
            </w:r>
          </w:hyperlink>
        </w:p>
        <w:p>
          <w:pPr>
            <w:pStyle w:val="TOC1"/>
            <w:tabs>
              <w:tab w:val="clear" w:pos="9026"/>
              <w:tab w:val="right" w:pos="9025" w:leader="dot"/>
            </w:tabs>
            <w:rPr/>
          </w:pPr>
          <w:hyperlink w:anchor="__RefHeading___Toc3464_158910726">
            <w:r>
              <w:rPr>
                <w:rStyle w:val="IndexLink"/>
              </w:rPr>
              <w:t>4. Estrategia de pruebas</w:t>
              <w:tab/>
              <w:t>11</w:t>
            </w:r>
          </w:hyperlink>
        </w:p>
        <w:p>
          <w:pPr>
            <w:pStyle w:val="TOC2"/>
            <w:tabs>
              <w:tab w:val="clear" w:pos="8743"/>
              <w:tab w:val="right" w:pos="9025" w:leader="dot"/>
            </w:tabs>
            <w:rPr/>
          </w:pPr>
          <w:hyperlink w:anchor="__RefHeading___Toc3466_158910726">
            <w:r>
              <w:rPr>
                <w:rStyle w:val="IndexLink"/>
              </w:rPr>
              <w:t>4.1 Enfoque</w:t>
              <w:tab/>
              <w:t>11</w:t>
            </w:r>
          </w:hyperlink>
        </w:p>
        <w:p>
          <w:pPr>
            <w:pStyle w:val="TOC2"/>
            <w:tabs>
              <w:tab w:val="clear" w:pos="8743"/>
              <w:tab w:val="right" w:pos="9025" w:leader="dot"/>
            </w:tabs>
            <w:rPr/>
          </w:pPr>
          <w:hyperlink w:anchor="__RefHeading___Toc3468_158910726">
            <w:r>
              <w:rPr>
                <w:rStyle w:val="IndexLink"/>
              </w:rPr>
              <w:t>4.2 Niveles y etapas del proceso</w:t>
              <w:tab/>
              <w:t>11</w:t>
            </w:r>
          </w:hyperlink>
        </w:p>
        <w:p>
          <w:pPr>
            <w:pStyle w:val="TOC2"/>
            <w:tabs>
              <w:tab w:val="clear" w:pos="8743"/>
              <w:tab w:val="right" w:pos="9025" w:leader="dot"/>
            </w:tabs>
            <w:rPr/>
          </w:pPr>
          <w:hyperlink w:anchor="__RefHeading___Toc3470_158910726">
            <w:r>
              <w:rPr>
                <w:rStyle w:val="IndexLink"/>
              </w:rPr>
              <w:t>4.3 Priorización basada en riesgo</w:t>
              <w:tab/>
              <w:t>12</w:t>
            </w:r>
          </w:hyperlink>
        </w:p>
        <w:p>
          <w:pPr>
            <w:pStyle w:val="TOC2"/>
            <w:tabs>
              <w:tab w:val="clear" w:pos="8743"/>
              <w:tab w:val="right" w:pos="9025" w:leader="dot"/>
            </w:tabs>
            <w:rPr/>
          </w:pPr>
          <w:hyperlink w:anchor="__RefHeading___Toc3472_158910726">
            <w:r>
              <w:rPr>
                <w:rStyle w:val="IndexLink"/>
              </w:rPr>
              <w:t>4.4 Criterios de entrada</w:t>
              <w:tab/>
              <w:t>12</w:t>
            </w:r>
          </w:hyperlink>
        </w:p>
        <w:p>
          <w:pPr>
            <w:pStyle w:val="TOC2"/>
            <w:tabs>
              <w:tab w:val="clear" w:pos="8743"/>
              <w:tab w:val="right" w:pos="9025" w:leader="dot"/>
            </w:tabs>
            <w:rPr/>
          </w:pPr>
          <w:hyperlink w:anchor="__RefHeading___Toc3474_158910726">
            <w:r>
              <w:rPr>
                <w:rStyle w:val="IndexLink"/>
              </w:rPr>
              <w:t>4.5 Criterios de salida</w:t>
              <w:tab/>
              <w:t>13</w:t>
            </w:r>
          </w:hyperlink>
        </w:p>
        <w:p>
          <w:pPr>
            <w:pStyle w:val="TOC2"/>
            <w:tabs>
              <w:tab w:val="clear" w:pos="8743"/>
              <w:tab w:val="right" w:pos="9025" w:leader="dot"/>
            </w:tabs>
            <w:rPr/>
          </w:pPr>
          <w:hyperlink w:anchor="__RefHeading___Toc3476_158910726">
            <w:r>
              <w:rPr>
                <w:rStyle w:val="IndexLink"/>
              </w:rPr>
              <w:t>4.6 Criterios de suspensión y reanudación</w:t>
              <w:tab/>
              <w:t>13</w:t>
            </w:r>
          </w:hyperlink>
        </w:p>
        <w:p>
          <w:pPr>
            <w:pStyle w:val="TOC2"/>
            <w:tabs>
              <w:tab w:val="clear" w:pos="8743"/>
              <w:tab w:val="right" w:pos="9025" w:leader="dot"/>
            </w:tabs>
            <w:rPr/>
          </w:pPr>
          <w:hyperlink w:anchor="__RefHeading___Toc3478_158910726">
            <w:r>
              <w:rPr>
                <w:rStyle w:val="IndexLink"/>
              </w:rPr>
              <w:t>4.7 Gestión de defectos</w:t>
              <w:tab/>
              <w:t>13</w:t>
            </w:r>
          </w:hyperlink>
        </w:p>
        <w:p>
          <w:pPr>
            <w:pStyle w:val="TOC1"/>
            <w:tabs>
              <w:tab w:val="clear" w:pos="9026"/>
              <w:tab w:val="right" w:pos="9025" w:leader="dot"/>
            </w:tabs>
            <w:rPr/>
          </w:pPr>
          <w:hyperlink w:anchor="__RefHeading___Toc3480_158910726">
            <w:r>
              <w:rPr>
                <w:rStyle w:val="IndexLink"/>
              </w:rPr>
              <w:t>5. Criterios de aceptación transversales</w:t>
              <w:tab/>
              <w:t>13</w:t>
            </w:r>
          </w:hyperlink>
        </w:p>
        <w:p>
          <w:pPr>
            <w:pStyle w:val="TOC2"/>
            <w:tabs>
              <w:tab w:val="clear" w:pos="8743"/>
              <w:tab w:val="right" w:pos="9025" w:leader="dot"/>
            </w:tabs>
            <w:rPr/>
          </w:pPr>
          <w:hyperlink w:anchor="__RefHeading___Toc3482_158910726">
            <w:r>
              <w:rPr>
                <w:rStyle w:val="IndexLink"/>
              </w:rPr>
              <w:t>5.1 Criterios funcionales</w:t>
              <w:tab/>
              <w:t>13</w:t>
            </w:r>
          </w:hyperlink>
        </w:p>
        <w:p>
          <w:pPr>
            <w:pStyle w:val="TOC2"/>
            <w:tabs>
              <w:tab w:val="clear" w:pos="8743"/>
              <w:tab w:val="right" w:pos="9025" w:leader="dot"/>
            </w:tabs>
            <w:rPr/>
          </w:pPr>
          <w:hyperlink w:anchor="__RefHeading___Toc3484_158910726">
            <w:r>
              <w:rPr>
                <w:rStyle w:val="IndexLink"/>
              </w:rPr>
              <w:t>5.2 Criterios de seguridad</w:t>
              <w:tab/>
              <w:t>14</w:t>
            </w:r>
          </w:hyperlink>
        </w:p>
        <w:p>
          <w:pPr>
            <w:pStyle w:val="TOC2"/>
            <w:tabs>
              <w:tab w:val="clear" w:pos="8743"/>
              <w:tab w:val="right" w:pos="9025" w:leader="dot"/>
            </w:tabs>
            <w:rPr/>
          </w:pPr>
          <w:hyperlink w:anchor="__RefHeading___Toc3486_158910726">
            <w:r>
              <w:rPr>
                <w:rStyle w:val="IndexLink"/>
              </w:rPr>
              <w:t>5.3 Criterios no funcionales</w:t>
              <w:tab/>
              <w:t>14</w:t>
            </w:r>
          </w:hyperlink>
        </w:p>
        <w:p>
          <w:pPr>
            <w:pStyle w:val="TOC2"/>
            <w:tabs>
              <w:tab w:val="clear" w:pos="8743"/>
              <w:tab w:val="right" w:pos="9025" w:leader="dot"/>
            </w:tabs>
            <w:rPr/>
          </w:pPr>
          <w:hyperlink w:anchor="__RefHeading___Toc3488_158910726">
            <w:r>
              <w:rPr>
                <w:rStyle w:val="IndexLink"/>
              </w:rPr>
              <w:t>5.4 Criterios de reglas de negocio</w:t>
              <w:tab/>
              <w:t>14</w:t>
            </w:r>
          </w:hyperlink>
        </w:p>
        <w:p>
          <w:pPr>
            <w:pStyle w:val="TOC2"/>
            <w:tabs>
              <w:tab w:val="clear" w:pos="8743"/>
              <w:tab w:val="right" w:pos="9025" w:leader="dot"/>
            </w:tabs>
            <w:rPr/>
          </w:pPr>
          <w:hyperlink w:anchor="__RefHeading___Toc3490_158910726">
            <w:r>
              <w:rPr>
                <w:rStyle w:val="IndexLink"/>
              </w:rPr>
              <w:t>5.5 Severidad de defectos</w:t>
              <w:tab/>
              <w:t>14</w:t>
            </w:r>
          </w:hyperlink>
        </w:p>
        <w:p>
          <w:pPr>
            <w:pStyle w:val="TOC1"/>
            <w:tabs>
              <w:tab w:val="clear" w:pos="9026"/>
              <w:tab w:val="right" w:pos="9025" w:leader="dot"/>
            </w:tabs>
            <w:rPr/>
          </w:pPr>
          <w:hyperlink w:anchor="__RefHeading___Toc3492_158910726">
            <w:r>
              <w:rPr>
                <w:rStyle w:val="IndexLink"/>
              </w:rPr>
              <w:t>6. Herramientas utilizadas</w:t>
              <w:tab/>
              <w:t>15</w:t>
            </w:r>
          </w:hyperlink>
        </w:p>
        <w:p>
          <w:pPr>
            <w:pStyle w:val="TOC1"/>
            <w:tabs>
              <w:tab w:val="clear" w:pos="9026"/>
              <w:tab w:val="right" w:pos="9025" w:leader="dot"/>
            </w:tabs>
            <w:rPr/>
          </w:pPr>
          <w:hyperlink w:anchor="__RefHeading___Toc3494_158910726">
            <w:r>
              <w:rPr>
                <w:rStyle w:val="IndexLink"/>
              </w:rPr>
              <w:t>7. Recursos necesarios</w:t>
              <w:tab/>
              <w:t>16</w:t>
            </w:r>
          </w:hyperlink>
        </w:p>
        <w:p>
          <w:pPr>
            <w:pStyle w:val="TOC2"/>
            <w:tabs>
              <w:tab w:val="clear" w:pos="8743"/>
              <w:tab w:val="right" w:pos="9025" w:leader="dot"/>
            </w:tabs>
            <w:rPr/>
          </w:pPr>
          <w:hyperlink w:anchor="__RefHeading___Toc3496_158910726">
            <w:r>
              <w:rPr>
                <w:rStyle w:val="IndexLink"/>
              </w:rPr>
              <w:t>7.1 Recursos humanos</w:t>
              <w:tab/>
              <w:t>16</w:t>
            </w:r>
          </w:hyperlink>
        </w:p>
        <w:p>
          <w:pPr>
            <w:pStyle w:val="TOC2"/>
            <w:tabs>
              <w:tab w:val="clear" w:pos="8743"/>
              <w:tab w:val="right" w:pos="9025" w:leader="dot"/>
            </w:tabs>
            <w:rPr/>
          </w:pPr>
          <w:hyperlink w:anchor="__RefHeading___Toc3498_158910726">
            <w:r>
              <w:rPr>
                <w:rStyle w:val="IndexLink"/>
              </w:rPr>
              <w:t>7.2 Recursos técnicos</w:t>
              <w:tab/>
              <w:t>16</w:t>
            </w:r>
          </w:hyperlink>
        </w:p>
        <w:p>
          <w:pPr>
            <w:pStyle w:val="TOC2"/>
            <w:tabs>
              <w:tab w:val="clear" w:pos="8743"/>
              <w:tab w:val="right" w:pos="9025" w:leader="dot"/>
            </w:tabs>
            <w:rPr/>
          </w:pPr>
          <w:hyperlink w:anchor="__RefHeading___Toc3500_158910726">
            <w:r>
              <w:rPr>
                <w:rStyle w:val="IndexLink"/>
              </w:rPr>
              <w:t>7.3 Entornos de prueba</w:t>
              <w:tab/>
              <w:t>17</w:t>
            </w:r>
          </w:hyperlink>
        </w:p>
        <w:p>
          <w:pPr>
            <w:pStyle w:val="TOC1"/>
            <w:tabs>
              <w:tab w:val="clear" w:pos="9026"/>
              <w:tab w:val="right" w:pos="9025" w:leader="dot"/>
            </w:tabs>
            <w:rPr/>
          </w:pPr>
          <w:hyperlink w:anchor="__RefHeading___Toc3502_158910726">
            <w:r>
              <w:rPr>
                <w:rStyle w:val="IndexLink"/>
              </w:rPr>
              <w:t>8. Cronograma de ejecución</w:t>
              <w:tab/>
              <w:t>17</w:t>
            </w:r>
          </w:hyperlink>
        </w:p>
        <w:p>
          <w:pPr>
            <w:pStyle w:val="TOC1"/>
            <w:tabs>
              <w:tab w:val="clear" w:pos="9026"/>
              <w:tab w:val="right" w:pos="9025" w:leader="dot"/>
            </w:tabs>
            <w:rPr/>
          </w:pPr>
          <w:hyperlink w:anchor="__RefHeading___Toc3504_158910726">
            <w:r>
              <w:rPr>
                <w:rStyle w:val="IndexLink"/>
              </w:rPr>
              <w:t>9. Diseño de casos de prueba</w:t>
              <w:tab/>
              <w:t>19</w:t>
            </w:r>
          </w:hyperlink>
        </w:p>
        <w:p>
          <w:pPr>
            <w:pStyle w:val="TOC2"/>
            <w:tabs>
              <w:tab w:val="clear" w:pos="8743"/>
              <w:tab w:val="right" w:pos="9025" w:leader="dot"/>
            </w:tabs>
            <w:rPr/>
          </w:pPr>
          <w:hyperlink w:anchor="__RefHeading___Toc3506_158910726">
            <w:r>
              <w:rPr>
                <w:rStyle w:val="IndexLink"/>
              </w:rPr>
              <w:t>CP-01 – Inicio de sesión con credenciales válidas</w:t>
              <w:tab/>
              <w:t>19</w:t>
            </w:r>
          </w:hyperlink>
        </w:p>
        <w:p>
          <w:pPr>
            <w:pStyle w:val="TOC2"/>
            <w:tabs>
              <w:tab w:val="clear" w:pos="8743"/>
              <w:tab w:val="right" w:pos="9025" w:leader="dot"/>
            </w:tabs>
            <w:rPr/>
          </w:pPr>
          <w:hyperlink w:anchor="__RefHeading___Toc3508_158910726">
            <w:r>
              <w:rPr>
                <w:rStyle w:val="IndexLink"/>
              </w:rPr>
              <w:t>CP-02 – Revocación del token al cerrar sesión</w:t>
              <w:tab/>
              <w:t>19</w:t>
            </w:r>
          </w:hyperlink>
        </w:p>
        <w:p>
          <w:pPr>
            <w:pStyle w:val="TOC2"/>
            <w:tabs>
              <w:tab w:val="clear" w:pos="8743"/>
              <w:tab w:val="right" w:pos="9025" w:leader="dot"/>
            </w:tabs>
            <w:rPr/>
          </w:pPr>
          <w:hyperlink w:anchor="__RefHeading___Toc3510_158910726">
            <w:r>
              <w:rPr>
                <w:rStyle w:val="IndexLink"/>
              </w:rPr>
              <w:t>CP-03 – Registro de usuario y creación de empresa</w:t>
              <w:tab/>
              <w:t>20</w:t>
            </w:r>
          </w:hyperlink>
        </w:p>
        <w:p>
          <w:pPr>
            <w:pStyle w:val="TOC2"/>
            <w:tabs>
              <w:tab w:val="clear" w:pos="8743"/>
              <w:tab w:val="right" w:pos="9025" w:leader="dot"/>
            </w:tabs>
            <w:rPr/>
          </w:pPr>
          <w:hyperlink w:anchor="__RefHeading___Toc3512_158910726">
            <w:r>
              <w:rPr>
                <w:rStyle w:val="IndexLink"/>
              </w:rPr>
              <w:t>CP-04 – Rol editor sin permisos de escritura</w:t>
              <w:tab/>
              <w:t>20</w:t>
            </w:r>
          </w:hyperlink>
        </w:p>
        <w:p>
          <w:pPr>
            <w:pStyle w:val="TOC2"/>
            <w:tabs>
              <w:tab w:val="clear" w:pos="8743"/>
              <w:tab w:val="right" w:pos="9025" w:leader="dot"/>
            </w:tabs>
            <w:rPr/>
          </w:pPr>
          <w:hyperlink w:anchor="__RefHeading___Toc3514_158910726">
            <w:r>
              <w:rPr>
                <w:rStyle w:val="IndexLink"/>
              </w:rPr>
              <w:t>CP-05 – Aislamiento de datos entre empresas</w:t>
              <w:tab/>
              <w:t>21</w:t>
            </w:r>
          </w:hyperlink>
        </w:p>
        <w:p>
          <w:pPr>
            <w:pStyle w:val="TOC2"/>
            <w:tabs>
              <w:tab w:val="clear" w:pos="8743"/>
              <w:tab w:val="right" w:pos="9025" w:leader="dot"/>
            </w:tabs>
            <w:rPr/>
          </w:pPr>
          <w:hyperlink w:anchor="__RefHeading___Toc3516_158910726">
            <w:r>
              <w:rPr>
                <w:rStyle w:val="IndexLink"/>
              </w:rPr>
              <w:t>CP-06 – Creación, validación y eliminación lógica de cliente</w:t>
              <w:tab/>
              <w:t>22</w:t>
            </w:r>
          </w:hyperlink>
        </w:p>
        <w:p>
          <w:pPr>
            <w:pStyle w:val="TOC2"/>
            <w:tabs>
              <w:tab w:val="clear" w:pos="8743"/>
              <w:tab w:val="right" w:pos="9025" w:leader="dot"/>
            </w:tabs>
            <w:rPr/>
          </w:pPr>
          <w:hyperlink w:anchor="__RefHeading___Toc3518_158910726">
            <w:r>
              <w:rPr>
                <w:rStyle w:val="IndexLink"/>
              </w:rPr>
              <w:t>CP-07 – Cálculo del estado de un contrato</w:t>
              <w:tab/>
              <w:t>22</w:t>
            </w:r>
          </w:hyperlink>
        </w:p>
        <w:p>
          <w:pPr>
            <w:pStyle w:val="TOC2"/>
            <w:tabs>
              <w:tab w:val="clear" w:pos="8743"/>
              <w:tab w:val="right" w:pos="9025" w:leader="dot"/>
            </w:tabs>
            <w:rPr/>
          </w:pPr>
          <w:hyperlink w:anchor="__RefHeading___Toc3520_158910726">
            <w:r>
              <w:rPr>
                <w:rStyle w:val="IndexLink"/>
              </w:rPr>
              <w:t>CP-08 – Carga de documento, almacenamiento y auditoría</w:t>
              <w:tab/>
              <w:t>23</w:t>
            </w:r>
          </w:hyperlink>
        </w:p>
        <w:p>
          <w:pPr>
            <w:pStyle w:val="TOC2"/>
            <w:tabs>
              <w:tab w:val="clear" w:pos="8743"/>
              <w:tab w:val="right" w:pos="9025" w:leader="dot"/>
            </w:tabs>
            <w:rPr/>
          </w:pPr>
          <w:hyperlink w:anchor="__RefHeading___Toc3522_158910726">
            <w:r>
              <w:rPr>
                <w:rStyle w:val="IndexLink"/>
              </w:rPr>
              <w:t>CP-09 – Enlace compartido de documento</w:t>
              <w:tab/>
              <w:t>23</w:t>
            </w:r>
          </w:hyperlink>
        </w:p>
        <w:p>
          <w:pPr>
            <w:pStyle w:val="TOC2"/>
            <w:tabs>
              <w:tab w:val="clear" w:pos="8743"/>
              <w:tab w:val="right" w:pos="9025" w:leader="dot"/>
            </w:tabs>
            <w:rPr/>
          </w:pPr>
          <w:hyperlink w:anchor="__RefHeading___Toc3524_158910726">
            <w:r>
              <w:rPr>
                <w:rStyle w:val="IndexLink"/>
              </w:rPr>
              <w:t>CP-10 – Protección contra inyección SQL, XSS y CSRF</w:t>
              <w:tab/>
              <w:t>24</w:t>
            </w:r>
          </w:hyperlink>
        </w:p>
        <w:p>
          <w:pPr>
            <w:pStyle w:val="TOC2"/>
            <w:tabs>
              <w:tab w:val="clear" w:pos="8743"/>
              <w:tab w:val="right" w:pos="9025" w:leader="dot"/>
            </w:tabs>
            <w:rPr/>
          </w:pPr>
          <w:hyperlink w:anchor="__RefHeading___Toc3526_158910726">
            <w:r>
              <w:rPr>
                <w:rStyle w:val="IndexLink"/>
              </w:rPr>
              <w:t>CP-11 – Carga con 200 usuarios concurrentes</w:t>
              <w:tab/>
              <w:t>25</w:t>
            </w:r>
          </w:hyperlink>
        </w:p>
        <w:p>
          <w:pPr>
            <w:pStyle w:val="TOC2"/>
            <w:tabs>
              <w:tab w:val="clear" w:pos="8743"/>
              <w:tab w:val="right" w:pos="9025" w:leader="dot"/>
            </w:tabs>
            <w:rPr/>
          </w:pPr>
          <w:hyperlink w:anchor="__RefHeading___Toc3528_158910726">
            <w:r>
              <w:rPr>
                <w:rStyle w:val="IndexLink"/>
              </w:rPr>
              <w:t>CP-12 – Usabilidad y accesibilidad con adultos mayores</w:t>
              <w:tab/>
              <w:t>25</w:t>
            </w:r>
          </w:hyperlink>
        </w:p>
        <w:p>
          <w:pPr>
            <w:pStyle w:val="TOC2"/>
            <w:tabs>
              <w:tab w:val="clear" w:pos="8743"/>
              <w:tab w:val="right" w:pos="9025" w:leader="dot"/>
            </w:tabs>
            <w:rPr/>
          </w:pPr>
          <w:hyperlink w:anchor="__RefHeading___Toc3530_158910726">
            <w:r>
              <w:rPr>
                <w:rStyle w:val="IndexLink"/>
              </w:rPr>
              <w:t>CP-13 – Compatibilidad entre navegadores y dispositivos</w:t>
              <w:tab/>
              <w:t>26</w:t>
            </w:r>
          </w:hyperlink>
        </w:p>
        <w:p>
          <w:pPr>
            <w:pStyle w:val="TOC1"/>
            <w:tabs>
              <w:tab w:val="clear" w:pos="9026"/>
              <w:tab w:val="right" w:pos="9025" w:leader="dot"/>
            </w:tabs>
            <w:rPr/>
          </w:pPr>
          <w:hyperlink w:anchor="__RefHeading___Toc3532_158910726">
            <w:r>
              <w:rPr>
                <w:rStyle w:val="IndexLink"/>
              </w:rPr>
              <w:t>10. Matriz de trazabilidad</w:t>
              <w:tab/>
              <w:t>27</w:t>
            </w:r>
          </w:hyperlink>
        </w:p>
        <w:p>
          <w:pPr>
            <w:pStyle w:val="TOC2"/>
            <w:tabs>
              <w:tab w:val="clear" w:pos="8743"/>
              <w:tab w:val="right" w:pos="9025" w:leader="dot"/>
            </w:tabs>
            <w:rPr/>
          </w:pPr>
          <w:hyperlink w:anchor="__RefHeading___Toc3534_158910726">
            <w:r>
              <w:rPr>
                <w:rStyle w:val="IndexLink"/>
              </w:rPr>
              <w:t>10.1 Requerimientos funcionales y reglas de negocio</w:t>
              <w:tab/>
              <w:t>27</w:t>
            </w:r>
          </w:hyperlink>
        </w:p>
        <w:p>
          <w:pPr>
            <w:pStyle w:val="TOC2"/>
            <w:tabs>
              <w:tab w:val="clear" w:pos="8743"/>
              <w:tab w:val="right" w:pos="9025" w:leader="dot"/>
            </w:tabs>
            <w:rPr/>
          </w:pPr>
          <w:hyperlink w:anchor="__RefHeading___Toc3536_158910726">
            <w:r>
              <w:rPr>
                <w:rStyle w:val="IndexLink"/>
              </w:rPr>
              <w:t>10.2 Requerimientos no funcionales</w:t>
              <w:tab/>
              <w:t>28</w:t>
            </w:r>
          </w:hyperlink>
        </w:p>
        <w:p>
          <w:pPr>
            <w:pStyle w:val="TOC1"/>
            <w:tabs>
              <w:tab w:val="clear" w:pos="9026"/>
              <w:tab w:val="right" w:pos="9025" w:leader="dot"/>
            </w:tabs>
            <w:rPr/>
          </w:pPr>
          <w:hyperlink w:anchor="__RefHeading___Toc3538_158910726">
            <w:r>
              <w:rPr>
                <w:rStyle w:val="IndexLink"/>
              </w:rPr>
              <w:t>11. Análisis de cobertura y coherencia del plan</w:t>
              <w:tab/>
              <w:t>30</w:t>
            </w:r>
          </w:hyperlink>
        </w:p>
        <w:p>
          <w:pPr>
            <w:pStyle w:val="TOC2"/>
            <w:tabs>
              <w:tab w:val="clear" w:pos="8743"/>
              <w:tab w:val="right" w:pos="9025" w:leader="dot"/>
            </w:tabs>
            <w:rPr/>
          </w:pPr>
          <w:hyperlink w:anchor="__RefHeading___Toc3540_158910726">
            <w:r>
              <w:rPr>
                <w:rStyle w:val="IndexLink"/>
              </w:rPr>
              <w:t>11.1 Cobertura cuantitativa</w:t>
              <w:tab/>
              <w:t>30</w:t>
            </w:r>
          </w:hyperlink>
        </w:p>
        <w:p>
          <w:pPr>
            <w:pStyle w:val="TOC2"/>
            <w:tabs>
              <w:tab w:val="clear" w:pos="8743"/>
              <w:tab w:val="right" w:pos="9025" w:leader="dot"/>
            </w:tabs>
            <w:rPr/>
          </w:pPr>
          <w:hyperlink w:anchor="__RefHeading___Toc3542_158910726">
            <w:r>
              <w:rPr>
                <w:rStyle w:val="IndexLink"/>
              </w:rPr>
              <w:t>11.2 Distribución por tipo de prueba</w:t>
              <w:tab/>
              <w:t>30</w:t>
            </w:r>
          </w:hyperlink>
        </w:p>
        <w:p>
          <w:pPr>
            <w:pStyle w:val="TOC2"/>
            <w:tabs>
              <w:tab w:val="clear" w:pos="8743"/>
              <w:tab w:val="right" w:pos="9025" w:leader="dot"/>
            </w:tabs>
            <w:rPr/>
          </w:pPr>
          <w:hyperlink w:anchor="__RefHeading___Toc3544_158910726">
            <w:r>
              <w:rPr>
                <w:rStyle w:val="IndexLink"/>
              </w:rPr>
              <w:t>11.3 Coherencia con los objetivos y estándares</w:t>
              <w:tab/>
              <w:t>31</w:t>
            </w:r>
          </w:hyperlink>
        </w:p>
        <w:p>
          <w:pPr>
            <w:pStyle w:val="TOC2"/>
            <w:tabs>
              <w:tab w:val="clear" w:pos="8743"/>
              <w:tab w:val="right" w:pos="9025" w:leader="dot"/>
            </w:tabs>
            <w:rPr/>
          </w:pPr>
          <w:hyperlink w:anchor="__RefHeading___Toc3546_158910726">
            <w:r>
              <w:rPr>
                <w:rStyle w:val="IndexLink"/>
              </w:rPr>
              <w:t>11.4 Brechas identificadas y acciones</w:t>
              <w:tab/>
              <w:t>31</w:t>
            </w:r>
          </w:hyperlink>
        </w:p>
        <w:p>
          <w:pPr>
            <w:pStyle w:val="TOC2"/>
            <w:tabs>
              <w:tab w:val="clear" w:pos="8743"/>
              <w:tab w:val="right" w:pos="9025" w:leader="dot"/>
            </w:tabs>
            <w:rPr/>
          </w:pPr>
          <w:hyperlink w:anchor="__RefHeading___Toc3548_158910726">
            <w:r>
              <w:rPr>
                <w:rStyle w:val="IndexLink"/>
              </w:rPr>
              <w:t>11.5 Conclusión</w:t>
              <w:tab/>
              <w:t>31</w:t>
            </w:r>
          </w:hyperlink>
          <w:r>
            <w:rPr>
              <w:rStyle w:val="IndexLink"/>
            </w:rPr>
            <w:fldChar w:fldCharType="end"/>
          </w:r>
        </w:p>
      </w:sdtContent>
    </w:sdt>
    <w:p>
      <w:pPr>
        <w:pStyle w:val="Normal"/>
        <w:rPr/>
      </w:pPr>
      <w:r>
        <w:rPr/>
      </w:r>
    </w:p>
    <w:p>
      <w:pPr>
        <w:pStyle w:val="Normal"/>
        <w:rPr/>
      </w:pPr>
      <w:r>
        <w:rPr/>
      </w:r>
      <w:r>
        <w:br w:type="page"/>
      </w:r>
    </w:p>
    <w:p>
      <w:pPr>
        <w:pStyle w:val="Heading1"/>
        <w:spacing w:before="0" w:after="180"/>
        <w:rPr/>
      </w:pPr>
      <w:bookmarkStart w:id="0" w:name="__RefHeading___Toc3432_158910726"/>
      <w:bookmarkEnd w:id="0"/>
      <w:r>
        <w:rPr>
          <w:rFonts w:eastAsia="Arial" w:cs="Arial" w:ascii="Arial" w:hAnsi="Arial"/>
        </w:rPr>
        <w:t>1. Introducción</w:t>
      </w:r>
    </w:p>
    <w:p>
      <w:pPr>
        <w:pStyle w:val="Heading2"/>
        <w:rPr/>
      </w:pPr>
      <w:bookmarkStart w:id="1" w:name="__RefHeading___Toc3434_158910726"/>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desarrollada por CreaLab SpA para la gestión de clientes, contratos y documentos asociados, orientada a pequeñas y medianas empresas en Chile. Según la Especificación de Requerimientos de Software (ERS v1.1, Forma A), el sistema permite a usuarios registrados crear una empresa, administrar usuarios internos con roles diferenciados (administrador y editor), gestionar clientes con datos personales y bancarios, registrar contratos con documentos adjuntos y mantener un registro de auditoría de las acciones críticas.</w:t>
      </w:r>
    </w:p>
    <w:p>
      <w:pPr>
        <w:pStyle w:val="Normal"/>
        <w:spacing w:lineRule="exact" w:line="360" w:before="0" w:after="120"/>
        <w:jc w:val="both"/>
        <w:rPr/>
      </w:pPr>
      <w:r>
        <w:rPr>
          <w:rFonts w:eastAsia="Arial" w:cs="Arial"/>
          <w:sz w:val="22"/>
          <w:szCs w:val="22"/>
        </w:rPr>
        <w:t>La solución corresponde a una aplicación multicapa: un frontend SPA construido en React 19 con Material UI y Tailwind, una API REST en Node.js con Express 4 y una base de datos PostgreSQL. La autenticación se basa en JWT de corta vigencia con refresh token, las contraseñas se almacenan con bcrypt y todas las comunicaciones deben viajar sobre TLS. La ERS exige además que el sistema sea accesible desde computadores, tablets y móviles, con especial atención a la usabilidad para adultos mayores.</w:t>
      </w:r>
    </w:p>
    <w:p>
      <w:pPr>
        <w:pStyle w:val="Heading2"/>
        <w:rPr/>
      </w:pPr>
      <w:bookmarkStart w:id="2" w:name="__RefHeading___Toc3436_158910726"/>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Antes de definir las pruebas clasificamos Atlas según los tres ejes vistos en la asignatura:</w:t>
      </w:r>
    </w:p>
    <w:tbl>
      <w:tblPr>
        <w:tblW w:w="9026" w:type="dxa"/>
        <w:jc w:val="left"/>
        <w:tblInd w:w="0" w:type="dxa"/>
        <w:tblLayout w:type="fixed"/>
        <w:tblCellMar>
          <w:top w:w="50" w:type="dxa"/>
          <w:left w:w="90" w:type="dxa"/>
          <w:bottom w:w="50" w:type="dxa"/>
          <w:right w:w="90" w:type="dxa"/>
        </w:tblCellMar>
      </w:tblPr>
      <w:tblGrid>
        <w:gridCol w:w="1500"/>
        <w:gridCol w:w="3713"/>
        <w:gridCol w:w="3813"/>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Eje</w:t>
            </w:r>
          </w:p>
        </w:tc>
        <w:tc>
          <w:tcPr>
            <w:tcW w:w="37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Clasificación</w:t>
            </w:r>
          </w:p>
        </w:tc>
        <w:tc>
          <w:tcPr>
            <w:tcW w:w="38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Fundamento en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de información empresarial transaccional (CRUD) de criticidad media-alta</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CRUD sobre clientes y contratos, umbrales de rendimiento (NFR-PERF) y disponibilidad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multiusuario y multiempresa que trata datos personales y financieros</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Datos bancarios de clientes (sección 2.2), control de acceso por rol (NFR-SEG-4),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normativo</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Responsable de tratamiento de datos personales bajo la legislación chilena</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RF-6 (auditoría), RB-2 (acceso restringido por empresa)</w:t>
            </w:r>
          </w:p>
        </w:tc>
      </w:tr>
    </w:tbl>
    <w:p>
      <w:pPr>
        <w:pStyle w:val="Normal"/>
        <w:spacing w:before="0" w:after="120"/>
        <w:rPr/>
      </w:pPr>
      <w:r>
        <w:rPr/>
      </w:r>
    </w:p>
    <w:p>
      <w:pPr>
        <w:pStyle w:val="Normal"/>
        <w:spacing w:lineRule="exact" w:line="360" w:before="0" w:after="120"/>
        <w:jc w:val="both"/>
        <w:rPr/>
      </w:pPr>
      <w:r>
        <w:rPr>
          <w:rFonts w:eastAsia="Arial" w:cs="Arial"/>
          <w:sz w:val="22"/>
          <w:szCs w:val="22"/>
        </w:rPr>
        <w:t>Por esta clasificación, el plan no se limita a comprobar que las funciones operen. También verifica que se respete la confidencialidad entre empresas, la integridad de los contratos y la trazabilidad que exige la normativa de protección de datos.</w:t>
      </w:r>
    </w:p>
    <w:p>
      <w:pPr>
        <w:pStyle w:val="Heading2"/>
        <w:rPr/>
      </w:pPr>
      <w:bookmarkStart w:id="3" w:name="__RefHeading___Toc3438_158910726"/>
      <w:bookmarkEnd w:id="3"/>
      <w:r>
        <w:rPr>
          <w:rFonts w:eastAsia="Arial" w:cs="Arial" w:ascii="Arial" w:hAnsi="Arial"/>
        </w:rPr>
        <w:t>1.3 Propósito del plan de pruebas</w:t>
      </w:r>
    </w:p>
    <w:p>
      <w:pPr>
        <w:pStyle w:val="Normal"/>
        <w:spacing w:lineRule="exact" w:line="360" w:before="0" w:after="120"/>
        <w:jc w:val="both"/>
        <w:rPr/>
      </w:pPr>
      <w:r>
        <w:rPr>
          <w:rFonts w:eastAsia="Arial" w:cs="Arial"/>
          <w:sz w:val="22"/>
          <w:szCs w:val="22"/>
        </w:rPr>
        <w:t>Este plan define cómo vamos a verificar que Atlas cumple sus requerimientos funcionales, no funcionales y reglas de negocio, y cómo cada verificación se relaciona con los estándares de calidad y el marco legal. Buscamos asegurar que:</w:t>
      </w:r>
    </w:p>
    <w:p>
      <w:pPr>
        <w:pStyle w:val="ListParagraph"/>
        <w:numPr>
          <w:ilvl w:val="0"/>
          <w:numId w:val="3"/>
        </w:numPr>
        <w:spacing w:lineRule="exact" w:line="360" w:before="0" w:after="60"/>
        <w:jc w:val="both"/>
        <w:rPr/>
      </w:pPr>
      <w:r>
        <w:rPr>
          <w:rFonts w:eastAsia="Arial" w:cs="Arial"/>
          <w:sz w:val="22"/>
          <w:szCs w:val="22"/>
        </w:rPr>
        <w:t>Las funcionalidades esenciales (autenticación, registro, gestión de usuarios, clientes, contratos y auditoría) se comporten según lo especificado.</w:t>
      </w:r>
    </w:p>
    <w:p>
      <w:pPr>
        <w:pStyle w:val="ListParagraph"/>
        <w:numPr>
          <w:ilvl w:val="0"/>
          <w:numId w:val="1"/>
        </w:numPr>
        <w:spacing w:lineRule="exact" w:line="360" w:before="0" w:after="60"/>
        <w:jc w:val="both"/>
        <w:rPr/>
      </w:pPr>
      <w:r>
        <w:rPr>
          <w:rFonts w:eastAsia="Arial" w:cs="Arial"/>
          <w:sz w:val="22"/>
          <w:szCs w:val="22"/>
        </w:rPr>
        <w:t>Un usuario de una empresa no pueda acceder a datos de otra empresa y que el rol editor no pueda escribir información (RB-2, RB-4).</w:t>
      </w:r>
    </w:p>
    <w:p>
      <w:pPr>
        <w:pStyle w:val="ListParagraph"/>
        <w:numPr>
          <w:ilvl w:val="0"/>
          <w:numId w:val="1"/>
        </w:numPr>
        <w:spacing w:lineRule="exact" w:line="360" w:before="0" w:after="60"/>
        <w:jc w:val="both"/>
        <w:rPr/>
      </w:pPr>
      <w:r>
        <w:rPr>
          <w:rFonts w:eastAsia="Arial" w:cs="Arial"/>
          <w:sz w:val="22"/>
          <w:szCs w:val="22"/>
        </w:rPr>
        <w:t>Los datos personales y bancarios estén protegidos en tránsito y en reposo, y que cada acción crítica quede registrada.</w:t>
      </w:r>
    </w:p>
    <w:p>
      <w:pPr>
        <w:pStyle w:val="ListParagraph"/>
        <w:numPr>
          <w:ilvl w:val="0"/>
          <w:numId w:val="1"/>
        </w:numPr>
        <w:spacing w:lineRule="exact" w:line="360" w:before="0" w:after="60"/>
        <w:jc w:val="both"/>
        <w:rPr/>
      </w:pPr>
      <w:r>
        <w:rPr>
          <w:rFonts w:eastAsia="Arial" w:cs="Arial"/>
          <w:sz w:val="22"/>
          <w:szCs w:val="22"/>
        </w:rPr>
        <w:t>El sistema responda dentro de los umbrales definidos y sea utilizable por adultos mayores en distintos dispositivos y navegadores.</w:t>
      </w:r>
    </w:p>
    <w:p>
      <w:pPr>
        <w:pStyle w:val="ListParagraph"/>
        <w:numPr>
          <w:ilvl w:val="0"/>
          <w:numId w:val="1"/>
        </w:numPr>
        <w:spacing w:lineRule="exact" w:line="360" w:before="0" w:after="60"/>
        <w:jc w:val="both"/>
        <w:rPr/>
      </w:pPr>
      <w:r>
        <w:rPr>
          <w:rFonts w:eastAsia="Arial" w:cs="Arial"/>
          <w:sz w:val="22"/>
          <w:szCs w:val="22"/>
        </w:rPr>
        <w:t>Existan evidencias verificables que respalden el cumplimiento de la Ley 19.628, la Ley 21.719 y buenas prácticas reconocidas (ISO/IEC 25010, OWASP, WCAG).</w:t>
      </w:r>
    </w:p>
    <w:p>
      <w:pPr>
        <w:pStyle w:val="Heading2"/>
        <w:rPr/>
      </w:pPr>
      <w:bookmarkStart w:id="4" w:name="__RefHeading___Toc3440_158910726"/>
      <w:bookmarkEnd w:id="4"/>
      <w:r>
        <w:rPr>
          <w:rFonts w:eastAsia="Arial" w:cs="Arial" w:ascii="Arial" w:hAnsi="Arial"/>
        </w:rPr>
        <w:t>1.4 Alcance</w:t>
      </w:r>
    </w:p>
    <w:p>
      <w:pPr>
        <w:pStyle w:val="Normal"/>
        <w:spacing w:lineRule="exact" w:line="360" w:before="0" w:after="120"/>
        <w:jc w:val="both"/>
        <w:rPr/>
      </w:pPr>
      <w:r>
        <w:rPr>
          <w:rFonts w:eastAsia="Arial" w:cs="Arial"/>
          <w:b/>
          <w:bCs/>
          <w:sz w:val="22"/>
          <w:szCs w:val="22"/>
        </w:rPr>
        <w:t>Dentro del alcance:</w:t>
      </w:r>
      <w:r>
        <w:rPr>
          <w:rFonts w:eastAsia="Arial" w:cs="Arial"/>
          <w:sz w:val="22"/>
          <w:szCs w:val="22"/>
        </w:rPr>
        <w:t xml:space="preserve"> módulos de autenticación y sesión (RF-1), registro y creación de empresa (RF-2), gestión de usuarios y roles (RF-3), gestión de clientes (RF-4), contratos y documentos (RF-5), auditoría (RF-6), API REST y requisitos no funcionales NFR-SEG, NFR-PERF, NFR-USAB, NFR-DIS y NFR-COMPAT, además de las reglas de negocio RB-1 a RB-5.</w:t>
      </w:r>
    </w:p>
    <w:p>
      <w:pPr>
        <w:pStyle w:val="Normal"/>
        <w:spacing w:lineRule="exact" w:line="360" w:before="0" w:after="120"/>
        <w:jc w:val="both"/>
        <w:rPr/>
      </w:pPr>
      <w:r>
        <w:rPr>
          <w:rFonts w:eastAsia="Arial" w:cs="Arial"/>
          <w:b/>
          <w:bCs/>
          <w:sz w:val="22"/>
          <w:szCs w:val="22"/>
        </w:rPr>
        <w:t>Fuera del alcance de esta iteración:</w:t>
      </w:r>
      <w:r>
        <w:rPr>
          <w:rFonts w:eastAsia="Arial" w:cs="Arial"/>
          <w:sz w:val="22"/>
          <w:szCs w:val="22"/>
        </w:rPr>
        <w:t xml:space="preserve"> pruebas sobre la infraestructura física del proveedor de hosting, el servicio de correo externo más allá de su integración, y auditorías legales formales, que corresponden a un asesor jurídico. Estos puntos quedan registrados como riesgos y dependencias.</w:t>
      </w:r>
    </w:p>
    <w:p>
      <w:pPr>
        <w:pStyle w:val="Heading2"/>
        <w:rPr/>
      </w:pPr>
      <w:bookmarkStart w:id="5" w:name="__RefHeading___Toc3442_158910726"/>
      <w:bookmarkEnd w:id="5"/>
      <w:r>
        <w:rPr>
          <w:rFonts w:eastAsia="Arial" w:cs="Arial" w:ascii="Arial" w:hAnsi="Arial"/>
        </w:rPr>
        <w:t>1.5 Estructura del informe</w:t>
      </w:r>
    </w:p>
    <w:p>
      <w:pPr>
        <w:pStyle w:val="Normal"/>
        <w:spacing w:lineRule="exact" w:line="360" w:before="0" w:after="120"/>
        <w:jc w:val="both"/>
        <w:rPr/>
      </w:pPr>
      <w:r>
        <w:rPr>
          <w:rFonts w:eastAsia="Arial" w:cs="Arial"/>
          <w:sz w:val="22"/>
          <w:szCs w:val="22"/>
        </w:rPr>
        <w:t>El informe se organiza así: criterios de calidad, seguridad y cumplimiento normativo (sección 2); tipos de prueba y su justificación (sección 3); estrategia de pruebas (sección 4); criterios de aceptación y herramientas (secciones 5 y 6); recursos y cronograma (secciones 7 y 8); diseño de casos de prueba (sección 9); matriz de trazabilidad entre requerimientos, pruebas y controles normativos (sección 10); y análisis de cobertura y coherencia del plan (sección 11).</w:t>
      </w:r>
    </w:p>
    <w:p>
      <w:pPr>
        <w:pStyle w:val="Heading1"/>
        <w:rPr/>
      </w:pPr>
      <w:bookmarkStart w:id="6" w:name="__RefHeading___Toc3444_158910726"/>
      <w:bookmarkEnd w:id="6"/>
      <w:r>
        <w:rPr>
          <w:rFonts w:eastAsia="Arial" w:cs="Arial" w:ascii="Arial" w:hAnsi="Arial"/>
        </w:rPr>
        <w:t>2. Criterios de calidad, seguridad y cumplimiento normativo</w:t>
      </w:r>
    </w:p>
    <w:p>
      <w:pPr>
        <w:pStyle w:val="Normal"/>
        <w:spacing w:lineRule="exact" w:line="360" w:before="0" w:after="120"/>
        <w:jc w:val="both"/>
        <w:rPr/>
      </w:pPr>
      <w:r>
        <w:rPr>
          <w:rFonts w:eastAsia="Arial" w:cs="Arial"/>
          <w:sz w:val="22"/>
          <w:szCs w:val="22"/>
        </w:rPr>
        <w:t>En Atlas, calidad, seguridad y cumplimiento legal están conectados. Por ejemplo, una falla en el control de acceso es un problema de calidad (el sistema no hace lo especificado), de seguridad (se pierde la confidencialidad) y legal (no se resguardan los datos personales). Por eso cada criterio de esta sección está ligado a un requerimiento de la ERS y a una referencia normativa.</w:t>
      </w:r>
    </w:p>
    <w:p>
      <w:pPr>
        <w:pStyle w:val="Heading2"/>
        <w:rPr/>
      </w:pPr>
      <w:bookmarkStart w:id="7" w:name="__RefHeading___Toc3446_158910726"/>
      <w:bookmarkEnd w:id="7"/>
      <w:r>
        <w:rPr>
          <w:rFonts w:eastAsia="Arial" w:cs="Arial" w:ascii="Arial" w:hAnsi="Arial"/>
        </w:rPr>
        <w:t>2.1 Criterios de calidad (ISO/IEC 25010)</w:t>
      </w:r>
    </w:p>
    <w:tbl>
      <w:tblPr>
        <w:tblW w:w="9026" w:type="dxa"/>
        <w:jc w:val="left"/>
        <w:tblInd w:w="0" w:type="dxa"/>
        <w:tblLayout w:type="fixed"/>
        <w:tblCellMar>
          <w:top w:w="50" w:type="dxa"/>
          <w:left w:w="90" w:type="dxa"/>
          <w:bottom w:w="50" w:type="dxa"/>
          <w:right w:w="90" w:type="dxa"/>
        </w:tblCellMar>
      </w:tblPr>
      <w:tblGrid>
        <w:gridCol w:w="1500"/>
        <w:gridCol w:w="2913"/>
        <w:gridCol w:w="1704"/>
        <w:gridCol w:w="2908"/>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Característica ISO/IEC 25010</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Criterio aplicado a Atlas</w:t>
            </w:r>
          </w:p>
        </w:tc>
        <w:tc>
          <w:tcPr>
            <w:tcW w:w="170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 ERS</w:t>
            </w:r>
          </w:p>
        </w:tc>
        <w:tc>
          <w:tcPr>
            <w:tcW w:w="290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Métrica o evidencia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el cálculo de estado de contratos y la asignación de roles producen resultados correctos y completos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casos funcionales de prioridad alta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Eficiencia de desempeño</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de operaciones CRUD simples bajo carga normal y carga de página principal en móvil</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carga &lt; 2 s; 200 usuarios concurrentes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Interfaces legibles, controles grandes, flujos claros y mensajes de error comprensibles para adultos mayores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 3.1.1</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con 5 usuarios mayores; 0 bloqueos mayores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mensual, respaldo y recuperación ante fallos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NFR-SEG-7</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Uptime ≥ 99,5 %; restauración de respaldo verificada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Confidencialidad, integridad, no repudio y autenticidad</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a 9, RF-6</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hallazgos críticos o altos en pentest</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Funcionamiento en las dos últimas versiones de Chrome, Firefox, Safari y Edge</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navegadores sin defectos bloqueantes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Código modular y pruebas automatizables en CI; migraciones seguras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Cobertura unitaria backend ≥ 70 %; migraciones reversibles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Portabilidad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Adaptación a distintos tamaños de pantalla</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Vistas validadas en 360 px, 768 px y 1366 px</w:t>
            </w:r>
          </w:p>
        </w:tc>
      </w:tr>
    </w:tbl>
    <w:p>
      <w:pPr>
        <w:pStyle w:val="Normal"/>
        <w:spacing w:before="0" w:after="120"/>
        <w:rPr/>
      </w:pPr>
      <w:r>
        <w:rPr/>
      </w:r>
    </w:p>
    <w:p>
      <w:pPr>
        <w:pStyle w:val="Heading2"/>
        <w:rPr/>
      </w:pPr>
      <w:bookmarkStart w:id="8" w:name="__RefHeading___Toc3448_158910726"/>
      <w:bookmarkEnd w:id="8"/>
      <w:r>
        <w:rPr>
          <w:rFonts w:eastAsia="Arial" w:cs="Arial" w:ascii="Arial" w:hAnsi="Arial"/>
        </w:rPr>
        <w:t>2.2 Criterios de seguridad</w:t>
      </w:r>
    </w:p>
    <w:p>
      <w:pPr>
        <w:pStyle w:val="Normal"/>
        <w:spacing w:lineRule="exact" w:line="360" w:before="0" w:after="120"/>
        <w:jc w:val="both"/>
        <w:rPr/>
      </w:pPr>
      <w:r>
        <w:rPr>
          <w:rFonts w:eastAsia="Arial" w:cs="Arial"/>
          <w:sz w:val="22"/>
          <w:szCs w:val="22"/>
        </w:rPr>
        <w:t>Tomamos como base la tríada confidencialidad, integridad y disponibilidad, y contrastamos cada criterio con OWASP Top 10 (2021) y OWASP ASVS 4.0 nivel 2, que es el nivel recomendado para aplicaciones con datos personales y financieros.</w:t>
      </w:r>
    </w:p>
    <w:tbl>
      <w:tblPr>
        <w:tblW w:w="9026" w:type="dxa"/>
        <w:jc w:val="left"/>
        <w:tblInd w:w="0" w:type="dxa"/>
        <w:tblLayout w:type="fixed"/>
        <w:tblCellMar>
          <w:top w:w="50" w:type="dxa"/>
          <w:left w:w="90" w:type="dxa"/>
          <w:bottom w:w="50" w:type="dxa"/>
          <w:right w:w="90" w:type="dxa"/>
        </w:tblCellMar>
      </w:tblPr>
      <w:tblGrid>
        <w:gridCol w:w="1500"/>
        <w:gridCol w:w="2740"/>
        <w:gridCol w:w="2043"/>
        <w:gridCol w:w="2742"/>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Ámbito</w:t>
            </w:r>
          </w:p>
        </w:tc>
        <w:tc>
          <w:tcPr>
            <w:tcW w:w="274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Criterio</w:t>
            </w:r>
          </w:p>
        </w:tc>
        <w:tc>
          <w:tcPr>
            <w:tcW w:w="204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 ERS</w:t>
            </w:r>
          </w:p>
        </w:tc>
        <w:tc>
          <w:tcPr>
            <w:tcW w:w="27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Referencia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de datos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1.2 o superior en todas las comunicaciones; cifrado de datos bancarios en reposo</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NFR-SEG-3</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 – Fallas criptográficas;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bcrypt, política de 12 caracteres con complejidad, JWT de corta vigencia y revocación al cerrar sesión</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RF-1.2, NFR-SEG-2, NFR-SEG-9, 2.4</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 Fallas de identificación y autenticación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validada en backend por rol y por pertenencia a empresa (aislamiento multiempresa)</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NFR-SEG-4, RB-2, RB-4, RB-5</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 Pérdida de control de acceso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entradas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y saneamiento server-side; protección contra SQL Injection, XSS y CSRF; restricción de tipo y tamaño de archivos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 RF-5.2, NFR-SEG-5, 3.1.2</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 – Inyección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Manejo de errores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Mensajes genéricos al usuario, sin trazas de pila ni detalles de base de datos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 NFR-SEG-6</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A05 – Configuración de seguridad incorrecta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y trazabilidad</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auditoría inalterable de acciones críticas, con usuario, fecha, acción y recurso</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 Fallas de registro y monitoreo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Enlaces compartidos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Enlaces de documento con token no predecible, expiración y posibilidad de revocación</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principio de 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Dependencias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Librerías sin vulnerabilidades conocidas críticas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Sección 4 (stack)</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A06 – Componentes vulnerables</w:t>
            </w:r>
          </w:p>
        </w:tc>
      </w:tr>
    </w:tbl>
    <w:p>
      <w:pPr>
        <w:pStyle w:val="Normal"/>
        <w:spacing w:before="0" w:after="120"/>
        <w:rPr/>
      </w:pPr>
      <w:r>
        <w:rPr/>
      </w:r>
    </w:p>
    <w:p>
      <w:pPr>
        <w:pStyle w:val="Heading2"/>
        <w:rPr/>
      </w:pPr>
      <w:bookmarkStart w:id="9" w:name="__RefHeading___Toc3450_158910726"/>
      <w:bookmarkEnd w:id="9"/>
      <w:r>
        <w:rPr>
          <w:rFonts w:eastAsia="Arial" w:cs="Arial" w:ascii="Arial" w:hAnsi="Arial"/>
        </w:rPr>
        <w:t>2.3 Cumplimiento normativo</w:t>
      </w:r>
    </w:p>
    <w:tbl>
      <w:tblPr>
        <w:tblW w:w="9026" w:type="dxa"/>
        <w:jc w:val="left"/>
        <w:tblInd w:w="0" w:type="dxa"/>
        <w:tblLayout w:type="fixed"/>
        <w:tblCellMar>
          <w:top w:w="50" w:type="dxa"/>
          <w:left w:w="90" w:type="dxa"/>
          <w:bottom w:w="50" w:type="dxa"/>
          <w:right w:w="90" w:type="dxa"/>
        </w:tblCellMar>
      </w:tblPr>
      <w:tblGrid>
        <w:gridCol w:w="3010"/>
        <w:gridCol w:w="3007"/>
        <w:gridCol w:w="3009"/>
      </w:tblGrid>
      <w:tr>
        <w:trPr>
          <w:tblHeader w:val="true"/>
          <w:cantSplit w:val="true"/>
        </w:trPr>
        <w:tc>
          <w:tcPr>
            <w:tcW w:w="301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Norma</w:t>
            </w:r>
          </w:p>
        </w:tc>
        <w:tc>
          <w:tcPr>
            <w:tcW w:w="300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Alcance en Atlas</w:t>
            </w:r>
          </w:p>
        </w:tc>
        <w:tc>
          <w:tcPr>
            <w:tcW w:w="300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Implicancia para las pruebas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sobre Protección de la Vida Privada</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almacena nombres, contactos, RUT y datos bancarios de clientes de las pymes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acceso esté restringido a usuarios autorizados y que la información se utilice solo para su finalidad</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(modifica la Ley 19.628 y crea la Agencia de Protección de Datos Personales; vigencia prevista para diciembre de 2026)</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Introduce principios de licitud, finalidad, proporcionalidad, seguridad y responsabilidad proactiva, junto con deberes de reporte de brechas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Probar eliminación lógica y trazabilidad, minimización de datos en respuestas de la API y existencia de registros que demuestren medidas de seguridad</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Ley Marco de Ciberseguridad</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no es, en principio, un operador de importancia vital, pero sus clientes pueden serlo; se toma como referencia de seguridad por diseño y gestión de incidentes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antes de cada liberación y verificación del procedimiento de respuesta ante incidentes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21.459 sobre Delitos Informáticos</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Tipifica el acceso ilícito a sistemas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Refuerza la necesidad de impedir y registrar accesos no autorizados; las pruebas de penetración se ejecutan solo con autorización formal</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de Propiedad Intelectual</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Uso de librerías de terceros (React, Express, MUI, etc.)</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licencias de dependencias (MIT u otras compatibles)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Modelo de calidad de producto</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Define las características evaluadas en 2.1</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27001:2022</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seguridad de la información</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Controles de cifrado, registro, respaldo y control de acceso</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ISO/IEC/IEEE 29119</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Proceso y documentación de pruebas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Estructura del plan, casos de prueba e informes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etiquetas ARIA, navegación por teclado y tamaño de objetivos táctiles</w:t>
            </w:r>
          </w:p>
        </w:tc>
      </w:tr>
    </w:tbl>
    <w:p>
      <w:pPr>
        <w:pStyle w:val="Normal"/>
        <w:spacing w:before="0" w:after="120"/>
        <w:rPr/>
      </w:pPr>
      <w:r>
        <w:rPr/>
      </w:r>
    </w:p>
    <w:p>
      <w:pPr>
        <w:pStyle w:val="Heading2"/>
        <w:rPr/>
      </w:pPr>
      <w:bookmarkStart w:id="10" w:name="__RefHeading___Toc3452_158910726"/>
      <w:bookmarkEnd w:id="10"/>
      <w:r>
        <w:rPr>
          <w:rFonts w:eastAsia="Arial" w:cs="Arial" w:ascii="Arial" w:hAnsi="Arial"/>
        </w:rPr>
        <w:t>2.4 Observación crítica sobre la ERS</w:t>
      </w:r>
    </w:p>
    <w:p>
      <w:pPr>
        <w:pStyle w:val="Normal"/>
        <w:spacing w:lineRule="exact" w:line="360" w:before="0" w:after="120"/>
        <w:jc w:val="both"/>
        <w:rPr/>
      </w:pPr>
      <w:r>
        <w:rPr>
          <w:rFonts w:eastAsia="Arial" w:cs="Arial"/>
          <w:sz w:val="22"/>
          <w:szCs w:val="22"/>
        </w:rPr>
        <w:t>Al revisar la ERS encontramos puntos que conviene aclarar con el cliente antes de ejecutar las pruebas, ya que afectan los criterios de aceptación:</w:t>
      </w:r>
    </w:p>
    <w:p>
      <w:pPr>
        <w:pStyle w:val="ListParagraph"/>
        <w:numPr>
          <w:ilvl w:val="0"/>
          <w:numId w:val="1"/>
        </w:numPr>
        <w:spacing w:lineRule="exact" w:line="360" w:before="0" w:after="60"/>
        <w:jc w:val="both"/>
        <w:rPr/>
      </w:pPr>
      <w:r>
        <w:rPr>
          <w:rFonts w:eastAsia="Arial" w:cs="Arial"/>
          <w:sz w:val="22"/>
          <w:szCs w:val="22"/>
        </w:rPr>
        <w:t>La ERS fija un tamaño de fuente de 12 px, lo que resulta insuficiente para el público adulto mayor declarado en el alcance. Se recomienda un mínimo de 16 px para texto base, en línea con NFR-USAB-1 y las pautas WCAG.</w:t>
      </w:r>
    </w:p>
    <w:p>
      <w:pPr>
        <w:pStyle w:val="ListParagraph"/>
        <w:numPr>
          <w:ilvl w:val="0"/>
          <w:numId w:val="1"/>
        </w:numPr>
        <w:spacing w:lineRule="exact" w:line="360" w:before="0" w:after="60"/>
        <w:jc w:val="both"/>
        <w:rPr/>
      </w:pPr>
      <w:r>
        <w:rPr>
          <w:rFonts w:eastAsia="Arial" w:cs="Arial"/>
          <w:sz w:val="22"/>
          <w:szCs w:val="22"/>
        </w:rPr>
        <w:t>El rol editor aparece definido como "sólo visualización", pero RF-4.1 indica que "los usuarios" pueden crear clientes. Se asume que prevalecen RF-3.2 y RB-4, es decir, que solo el administrador escribe datos.</w:t>
      </w:r>
    </w:p>
    <w:p>
      <w:pPr>
        <w:pStyle w:val="ListParagraph"/>
        <w:numPr>
          <w:ilvl w:val="0"/>
          <w:numId w:val="1"/>
        </w:numPr>
        <w:spacing w:lineRule="exact" w:line="360" w:before="0" w:after="60"/>
        <w:jc w:val="both"/>
        <w:rPr/>
      </w:pPr>
      <w:r>
        <w:rPr>
          <w:rFonts w:eastAsia="Arial" w:cs="Arial"/>
          <w:sz w:val="22"/>
          <w:szCs w:val="22"/>
        </w:rPr>
        <w:t>RF-5.2 menciona formatos DOC y PPT, pero no define tamaño máximo de archivo ni validación del contenido real (tipo MIME). Se propone un límite de 10 MB y validación por firma de archivo.</w:t>
      </w:r>
    </w:p>
    <w:p>
      <w:pPr>
        <w:pStyle w:val="ListParagraph"/>
        <w:numPr>
          <w:ilvl w:val="0"/>
          <w:numId w:val="1"/>
        </w:numPr>
        <w:spacing w:lineRule="exact" w:line="360" w:before="0" w:after="60"/>
        <w:jc w:val="both"/>
        <w:rPr/>
      </w:pPr>
      <w:r>
        <w:rPr>
          <w:rFonts w:eastAsia="Arial" w:cs="Arial"/>
          <w:sz w:val="22"/>
          <w:szCs w:val="22"/>
        </w:rPr>
        <w:t>RF-5.4 habla del estado "vence" sin definir el umbral. Se asume "por vencer" cuando faltan 30 días o menos para la fecha de término.</w:t>
      </w:r>
    </w:p>
    <w:p>
      <w:pPr>
        <w:pStyle w:val="ListParagraph"/>
        <w:numPr>
          <w:ilvl w:val="0"/>
          <w:numId w:val="1"/>
        </w:numPr>
        <w:spacing w:lineRule="exact" w:line="360" w:before="0" w:after="60"/>
        <w:jc w:val="both"/>
        <w:rPr/>
      </w:pPr>
      <w:r>
        <w:rPr>
          <w:rFonts w:eastAsia="Arial" w:cs="Arial"/>
          <w:sz w:val="22"/>
          <w:szCs w:val="22"/>
        </w:rPr>
        <w:t>NFR-USAB exige un "score de usabilidad mínimo aceptable" sin cifra. Se propone SUS ≥ 70.</w:t>
      </w:r>
    </w:p>
    <w:p>
      <w:pPr>
        <w:pStyle w:val="ListParagraph"/>
        <w:numPr>
          <w:ilvl w:val="0"/>
          <w:numId w:val="1"/>
        </w:numPr>
        <w:spacing w:lineRule="exact" w:line="360" w:before="0" w:after="60"/>
        <w:jc w:val="both"/>
        <w:rPr/>
      </w:pPr>
      <w:r>
        <w:rPr>
          <w:rFonts w:eastAsia="Arial" w:cs="Arial"/>
          <w:sz w:val="22"/>
          <w:szCs w:val="22"/>
        </w:rPr>
        <w:t>RB-1 condiciona la unicidad del correo a una política no definida. Se prueba el comportamiento por defecto (correo único) y se deja parametrizable.</w:t>
      </w:r>
    </w:p>
    <w:p>
      <w:pPr>
        <w:pStyle w:val="Normal"/>
        <w:rPr/>
      </w:pPr>
      <w:r>
        <w:rPr/>
      </w:r>
      <w:r>
        <w:br w:type="page"/>
      </w:r>
    </w:p>
    <w:p>
      <w:pPr>
        <w:pStyle w:val="Heading1"/>
        <w:spacing w:before="0" w:after="180"/>
        <w:rPr/>
      </w:pPr>
      <w:bookmarkStart w:id="11" w:name="__RefHeading___Toc3454_158910726"/>
      <w:bookmarkEnd w:id="11"/>
      <w:r>
        <w:rPr>
          <w:rFonts w:eastAsia="Arial" w:cs="Arial" w:ascii="Arial" w:hAnsi="Arial"/>
        </w:rPr>
        <w:t>3. Tipos de prueba y su justificación</w:t>
      </w:r>
    </w:p>
    <w:p>
      <w:pPr>
        <w:pStyle w:val="Normal"/>
        <w:spacing w:lineRule="exact" w:line="360" w:before="0" w:after="120"/>
        <w:jc w:val="both"/>
        <w:rPr/>
      </w:pPr>
      <w:r>
        <w:rPr>
          <w:rFonts w:eastAsia="Arial" w:cs="Arial"/>
          <w:sz w:val="22"/>
          <w:szCs w:val="22"/>
        </w:rPr>
        <w:t>Separamos las pruebas en funcionales (qué hace el sistema) y no funcionales (cómo lo hace). Las de seguridad van en un grupo aparte por el tipo de datos que maneja Atlas y su peso en el cumplimiento legal.</w:t>
      </w:r>
    </w:p>
    <w:p>
      <w:pPr>
        <w:pStyle w:val="Heading2"/>
        <w:rPr/>
      </w:pPr>
      <w:bookmarkStart w:id="12" w:name="__RefHeading___Toc3456_158910726"/>
      <w:bookmarkEnd w:id="12"/>
      <w:r>
        <w:rPr>
          <w:rFonts w:eastAsia="Arial" w:cs="Arial" w:ascii="Arial" w:hAnsi="Arial"/>
        </w:rPr>
        <w:t>3.1 Pruebas funcionales</w:t>
      </w:r>
    </w:p>
    <w:tbl>
      <w:tblPr>
        <w:tblW w:w="9026" w:type="dxa"/>
        <w:jc w:val="left"/>
        <w:tblInd w:w="0" w:type="dxa"/>
        <w:tblLayout w:type="fixed"/>
        <w:tblCellMar>
          <w:top w:w="50" w:type="dxa"/>
          <w:left w:w="90" w:type="dxa"/>
          <w:bottom w:w="50" w:type="dxa"/>
          <w:right w:w="90" w:type="dxa"/>
        </w:tblCellMar>
      </w:tblPr>
      <w:tblGrid>
        <w:gridCol w:w="1500"/>
        <w:gridCol w:w="2651"/>
        <w:gridCol w:w="3112"/>
        <w:gridCol w:w="1762"/>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65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11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76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la lógica aislada de funciones y servicios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 estado del contrato, validación de RUT y formatos, política de contraseñas, generación de tokens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 RF-5.4, RF-1.1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frontend, API, base de datos y storage funcionan en conjunto</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contrato con documento: API, tabla de contratos, storage interno y registro de auditoría</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RF-5.2, RF-5.3, RF-6.1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(end-to-end)</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flujos completos desde la interfaz</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creación de empresa, invitación de usuario, alta de cliente y contrato</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 RF-3, RF-4, RF-5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 / contrato</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endpoints, códigos HTTP, esquemas JSON y validaciones server-side</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Swagger/Postman con pruebas de endpoints críticos, como exige la sección 3.1.2</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3.1.2, 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las restricciones del dominio se respetan</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 contrato asociado a un único cliente, editor de solo lectura, aislamiento entre empresas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 a RB-5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Asegurar que un cambio no rompa funciones ya aprobadas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automatizada en cada integración a la rama principal</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(UAT)</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con el cliente que el sistema cumple sus necesidades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Sesiones con usuarios de pymes sobre los flujos esenciales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Criterios de aceptación de cada RF</w:t>
            </w:r>
          </w:p>
        </w:tc>
      </w:tr>
    </w:tbl>
    <w:p>
      <w:pPr>
        <w:pStyle w:val="Normal"/>
        <w:spacing w:before="0" w:after="120"/>
        <w:rPr/>
      </w:pPr>
      <w:r>
        <w:rPr/>
      </w:r>
    </w:p>
    <w:p>
      <w:pPr>
        <w:pStyle w:val="Heading2"/>
        <w:rPr/>
      </w:pPr>
      <w:bookmarkStart w:id="13" w:name="__RefHeading___Toc3458_158910726"/>
      <w:bookmarkEnd w:id="13"/>
      <w:r>
        <w:rPr>
          <w:rFonts w:eastAsia="Arial" w:cs="Arial" w:ascii="Arial" w:hAnsi="Arial"/>
        </w:rPr>
        <w:t>3.2 Pruebas no funcionales</w:t>
      </w:r>
    </w:p>
    <w:tbl>
      <w:tblPr>
        <w:tblW w:w="9026" w:type="dxa"/>
        <w:jc w:val="left"/>
        <w:tblInd w:w="0" w:type="dxa"/>
        <w:tblLayout w:type="fixed"/>
        <w:tblCellMar>
          <w:top w:w="50" w:type="dxa"/>
          <w:left w:w="90" w:type="dxa"/>
          <w:bottom w:w="50" w:type="dxa"/>
          <w:right w:w="90" w:type="dxa"/>
        </w:tblCellMar>
      </w:tblPr>
      <w:tblGrid>
        <w:gridCol w:w="1500"/>
        <w:gridCol w:w="2913"/>
        <w:gridCol w:w="3112"/>
        <w:gridCol w:w="1500"/>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11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 carga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bajo la carga esperada</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 realizando listados y CRUD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 estrés y picos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Identificar el punto de quiebre y la recuperación</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Incremento progresivo hasta degradación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frontend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 de carga percibido en móvil</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 con perfil de red móvil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Transferencia de archivos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subida y descarga dentro del umbral</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Documentos de 1, 5 y 10 MB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 RF-5 (≤ 10 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facilidad de uso y comprensión de flujos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moderadas con 5 adultos mayores y cuestionario SUS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 3.1.1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conformidad WCAG 2.1 AA</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ARIA, teclado, lector de pantalla, objetivos táctiles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3.1.1, NFR-USAB-1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Asegurar funcionamiento en navegadores y dispositivos definidos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Chrome, Firefox, Safari y Edge (2 últimas versiones); móvil, tablet y escritorio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 y recuperación</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respaldos, restauración y tolerancia a fallos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Restauración de respaldo en ambiente QA y medición de tiempo de recuperación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 NFR-DIS-2</w:t>
            </w:r>
          </w:p>
        </w:tc>
      </w:tr>
    </w:tbl>
    <w:p>
      <w:pPr>
        <w:pStyle w:val="Normal"/>
        <w:spacing w:before="0" w:after="120"/>
        <w:rPr/>
      </w:pPr>
      <w:r>
        <w:rPr/>
      </w:r>
    </w:p>
    <w:p>
      <w:pPr>
        <w:pStyle w:val="Heading2"/>
        <w:rPr/>
      </w:pPr>
      <w:bookmarkStart w:id="14" w:name="__RefHeading___Toc3460_158910726"/>
      <w:bookmarkEnd w:id="14"/>
      <w:r>
        <w:rPr>
          <w:rFonts w:eastAsia="Arial" w:cs="Arial" w:ascii="Arial" w:hAnsi="Arial"/>
        </w:rPr>
        <w:t>3.3 Pruebas de seguridad</w:t>
      </w:r>
    </w:p>
    <w:tbl>
      <w:tblPr>
        <w:tblW w:w="9026" w:type="dxa"/>
        <w:jc w:val="left"/>
        <w:tblInd w:w="0" w:type="dxa"/>
        <w:tblLayout w:type="fixed"/>
        <w:tblCellMar>
          <w:top w:w="50" w:type="dxa"/>
          <w:left w:w="90" w:type="dxa"/>
          <w:bottom w:w="50" w:type="dxa"/>
          <w:right w:w="90" w:type="dxa"/>
        </w:tblCellMar>
      </w:tblPr>
      <w:tblGrid>
        <w:gridCol w:w="1664"/>
        <w:gridCol w:w="2837"/>
        <w:gridCol w:w="3024"/>
        <w:gridCol w:w="1500"/>
      </w:tblGrid>
      <w:tr>
        <w:trPr>
          <w:tblHeader w:val="true"/>
          <w:cantSplit w:val="true"/>
        </w:trPr>
        <w:tc>
          <w:tcPr>
            <w:tcW w:w="166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83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02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estático (SAST)</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vulnerabilidades en el código fuente</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automática del código React y Express en cada commit</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dependencias (SCA)</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librerías con vulnerabilidades o licencias incompatibles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npm audit y Dependabot/Snyk sobre el stack declarado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Sección 4, Ley 17.336</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dinámico (DAST)</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vulnerabilidades en la aplicación en ejecución</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de la API y SPA en QA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control de acceso</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autorización por rol y por empresa</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Intentos de escritura con editor y acceso a recursos de otra empresa (IDOR)</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 RB-2, RB-4</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autenticación y sesión</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login, fuerza bruta, expiración y revocación de tokens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Reutilización de JWT tras logout, tokens alterados, política de contraseñas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NFR-SEG-2, NFR-SEG-9</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criptográficas</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TLS y cifrado en reposo</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TLS, redirección HTTP→HTTPS, campos bancarios cifrados en BD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NFR-SEG-3</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penetración</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Simular un atacante con autorización formal</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Checklist OWASP ASVS nivel 2 antes de producción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 3.3.1</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auditoría y logs</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los eventos críticos quedan registrados sin datos sensibles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registros tras cada acción crítica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r>
    </w:tbl>
    <w:p>
      <w:pPr>
        <w:pStyle w:val="Normal"/>
        <w:spacing w:before="0" w:after="120"/>
        <w:rPr/>
      </w:pPr>
      <w:r>
        <w:rPr/>
      </w:r>
    </w:p>
    <w:p>
      <w:pPr>
        <w:pStyle w:val="Heading2"/>
        <w:rPr/>
      </w:pPr>
      <w:bookmarkStart w:id="15" w:name="__RefHeading___Toc3462_158910726"/>
      <w:bookmarkEnd w:id="15"/>
      <w:r>
        <w:rPr>
          <w:rFonts w:eastAsia="Arial" w:cs="Arial" w:ascii="Arial" w:hAnsi="Arial"/>
        </w:rPr>
        <w:t>3.4 Justificación de la selección</w:t>
      </w:r>
    </w:p>
    <w:p>
      <w:pPr>
        <w:pStyle w:val="Normal"/>
        <w:spacing w:lineRule="exact" w:line="360" w:before="0" w:after="120"/>
        <w:jc w:val="both"/>
        <w:rPr/>
      </w:pPr>
      <w:r>
        <w:rPr>
          <w:rFonts w:eastAsia="Arial" w:cs="Arial"/>
          <w:sz w:val="22"/>
          <w:szCs w:val="22"/>
        </w:rPr>
        <w:t>Elegimos esta combinación según el riesgo del producto:</w:t>
      </w:r>
    </w:p>
    <w:p>
      <w:pPr>
        <w:pStyle w:val="ListParagraph"/>
        <w:numPr>
          <w:ilvl w:val="0"/>
          <w:numId w:val="1"/>
        </w:numPr>
        <w:spacing w:lineRule="exact" w:line="360" w:before="0" w:after="60"/>
        <w:jc w:val="both"/>
        <w:rPr/>
      </w:pPr>
      <w:r>
        <w:rPr>
          <w:rFonts w:eastAsia="Arial" w:cs="Arial"/>
          <w:sz w:val="22"/>
          <w:szCs w:val="22"/>
        </w:rPr>
        <w:t>Atlas es transaccional y multiempresa, así que un error de autorización expone datos de terceros. Por eso las pruebas de control de acceso tienen prioridad alta y se automatizan.</w:t>
      </w:r>
    </w:p>
    <w:p>
      <w:pPr>
        <w:pStyle w:val="ListParagraph"/>
        <w:numPr>
          <w:ilvl w:val="0"/>
          <w:numId w:val="1"/>
        </w:numPr>
        <w:spacing w:lineRule="exact" w:line="360" w:before="0" w:after="60"/>
        <w:jc w:val="both"/>
        <w:rPr/>
      </w:pPr>
      <w:r>
        <w:rPr>
          <w:rFonts w:eastAsia="Arial" w:cs="Arial"/>
          <w:sz w:val="22"/>
          <w:szCs w:val="22"/>
        </w:rPr>
        <w:t>El público adulto mayor requiere pruebas de usabilidad con usuarios reales; ninguna herramienta automática las reemplaza.</w:t>
      </w:r>
    </w:p>
    <w:p>
      <w:pPr>
        <w:pStyle w:val="ListParagraph"/>
        <w:numPr>
          <w:ilvl w:val="0"/>
          <w:numId w:val="1"/>
        </w:numPr>
        <w:spacing w:lineRule="exact" w:line="360" w:before="0" w:after="60"/>
        <w:jc w:val="both"/>
        <w:rPr/>
      </w:pPr>
      <w:r>
        <w:rPr>
          <w:rFonts w:eastAsia="Arial" w:cs="Arial"/>
          <w:sz w:val="22"/>
          <w:szCs w:val="22"/>
        </w:rPr>
        <w:t>Los umbrales de NFR-PERF solo se pueden demostrar con pruebas de carga medibles.</w:t>
      </w:r>
    </w:p>
    <w:p>
      <w:pPr>
        <w:pStyle w:val="ListParagraph"/>
        <w:numPr>
          <w:ilvl w:val="0"/>
          <w:numId w:val="1"/>
        </w:numPr>
        <w:spacing w:lineRule="exact" w:line="360" w:before="0" w:after="60"/>
        <w:jc w:val="both"/>
        <w:rPr/>
      </w:pPr>
      <w:r>
        <w:rPr>
          <w:rFonts w:eastAsia="Arial" w:cs="Arial"/>
          <w:sz w:val="22"/>
          <w:szCs w:val="22"/>
        </w:rPr>
        <w:t>La protección de datos personales exige evidencia de cifrado, trazabilidad y ausencia de vulnerabilidades críticas.</w:t>
      </w:r>
    </w:p>
    <w:p>
      <w:pPr>
        <w:pStyle w:val="Heading1"/>
        <w:rPr/>
      </w:pPr>
      <w:bookmarkStart w:id="16" w:name="__RefHeading___Toc3464_158910726"/>
      <w:bookmarkEnd w:id="16"/>
      <w:r>
        <w:rPr>
          <w:rFonts w:eastAsia="Arial" w:cs="Arial" w:ascii="Arial" w:hAnsi="Arial"/>
        </w:rPr>
        <w:t>4. Estrategia de pruebas</w:t>
      </w:r>
    </w:p>
    <w:p>
      <w:pPr>
        <w:pStyle w:val="Heading2"/>
        <w:rPr/>
      </w:pPr>
      <w:bookmarkStart w:id="17" w:name="__RefHeading___Toc3466_158910726"/>
      <w:bookmarkEnd w:id="17"/>
      <w:r>
        <w:rPr>
          <w:rFonts w:eastAsia="Arial" w:cs="Arial" w:ascii="Arial" w:hAnsi="Arial"/>
        </w:rPr>
        <w:t>4.1 Enfoque</w:t>
      </w:r>
    </w:p>
    <w:p>
      <w:pPr>
        <w:pStyle w:val="Normal"/>
        <w:spacing w:lineRule="exact" w:line="360" w:before="0" w:after="120"/>
        <w:jc w:val="both"/>
        <w:rPr/>
      </w:pPr>
      <w:r>
        <w:rPr>
          <w:rFonts w:eastAsia="Arial" w:cs="Arial"/>
          <w:sz w:val="22"/>
          <w:szCs w:val="22"/>
        </w:rPr>
        <w:t xml:space="preserve">Usamos un </w:t>
      </w:r>
      <w:r>
        <w:rPr>
          <w:rFonts w:eastAsia="Arial" w:cs="Arial"/>
          <w:b/>
          <w:bCs/>
          <w:sz w:val="22"/>
          <w:szCs w:val="22"/>
        </w:rPr>
        <w:t>enfoque mixto basado en riesgo</w:t>
      </w:r>
      <w:r>
        <w:rPr>
          <w:rFonts w:eastAsia="Arial" w:cs="Arial"/>
          <w:sz w:val="22"/>
          <w:szCs w:val="22"/>
        </w:rPr>
        <w:t>. Lo repetitivo (unitarias, API, control de acceso, rendimiento, regresión y análisis de seguridad automatizado) se automatiza y corre en el pipeline de integración continua. Lo que necesita criterio humano (usabilidad, accesibilidad con lector de pantalla, pruebas exploratorias y pentest manual) se ejecuta a mano.</w:t>
      </w:r>
    </w:p>
    <w:p>
      <w:pPr>
        <w:pStyle w:val="Normal"/>
        <w:spacing w:lineRule="exact" w:line="360" w:before="0" w:after="120"/>
        <w:jc w:val="both"/>
        <w:rPr/>
      </w:pPr>
      <w:r>
        <w:rPr>
          <w:rFonts w:eastAsia="Arial" w:cs="Arial"/>
          <w:sz w:val="22"/>
          <w:szCs w:val="22"/>
        </w:rPr>
        <w:t>Aplicamos *shift-left*: calidad y seguridad se verifican desde el inicio del desarrollo y no solo al final. Esto va en línea con la seguridad por diseño de la Ley 21.663 y la responsabilidad proactiva de la Ley 21.719.</w:t>
      </w:r>
    </w:p>
    <w:p>
      <w:pPr>
        <w:pStyle w:val="Heading2"/>
        <w:rPr/>
      </w:pPr>
      <w:bookmarkStart w:id="18" w:name="__RefHeading___Toc3468_158910726"/>
      <w:bookmarkEnd w:id="18"/>
      <w:r>
        <w:rPr>
          <w:rFonts w:eastAsia="Arial" w:cs="Arial" w:ascii="Arial" w:hAnsi="Arial"/>
        </w:rPr>
        <w:t>4.2 Niveles y etapas del proceso</w:t>
      </w:r>
    </w:p>
    <w:p>
      <w:pPr>
        <w:pStyle w:val="Normal"/>
        <w:spacing w:lineRule="exact" w:line="360" w:before="0" w:after="120"/>
        <w:jc w:val="both"/>
        <w:rPr/>
      </w:pPr>
      <w:r>
        <w:rPr>
          <w:rFonts w:eastAsia="Arial" w:cs="Arial"/>
          <w:sz w:val="22"/>
          <w:szCs w:val="22"/>
        </w:rPr>
        <w:t>Tomando como referencia ISO/IEC/IEEE 29119, el proceso tiene cinco etapas:</w:t>
      </w:r>
    </w:p>
    <w:tbl>
      <w:tblPr>
        <w:tblW w:w="9026" w:type="dxa"/>
        <w:jc w:val="left"/>
        <w:tblInd w:w="0" w:type="dxa"/>
        <w:tblLayout w:type="fixed"/>
        <w:tblCellMar>
          <w:top w:w="50" w:type="dxa"/>
          <w:left w:w="90" w:type="dxa"/>
          <w:bottom w:w="50" w:type="dxa"/>
          <w:right w:w="90" w:type="dxa"/>
        </w:tblCellMar>
      </w:tblPr>
      <w:tblGrid>
        <w:gridCol w:w="1988"/>
        <w:gridCol w:w="4591"/>
        <w:gridCol w:w="2447"/>
      </w:tblGrid>
      <w:tr>
        <w:trPr>
          <w:tblHeader w:val="true"/>
          <w:cantSplit w:val="true"/>
        </w:trPr>
        <w:tc>
          <w:tcPr>
            <w:tcW w:w="198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Etapa</w:t>
            </w:r>
          </w:p>
        </w:tc>
        <w:tc>
          <w:tcPr>
            <w:tcW w:w="459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Actividades</w:t>
            </w:r>
          </w:p>
        </w:tc>
        <w:tc>
          <w:tcPr>
            <w:tcW w:w="244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Entregable</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Planificación</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identificación de riesgos, definición de alcance, criterios y recursos</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de pruebas (este documento)</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Diseño</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Redacción de casos de prueba, datos de prueba y matriz de trazabilidad</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de prueba y matriz</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 Preparación del entorno</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de ambiente QA, datos anonimizados, herramientas y pipeline CI</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operativo</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 Ejecución</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 integración/API → sistema → no funcionales → seguridad → UAT</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ejecución y defectos</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Cierre</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Evaluación de criterios de salida, informe final y lecciones aprendidas</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resultados</w:t>
            </w:r>
          </w:p>
        </w:tc>
      </w:tr>
    </w:tbl>
    <w:p>
      <w:pPr>
        <w:pStyle w:val="Normal"/>
        <w:spacing w:before="0" w:after="120"/>
        <w:rPr/>
      </w:pPr>
      <w:r>
        <w:rPr/>
      </w:r>
    </w:p>
    <w:p>
      <w:pPr>
        <w:pStyle w:val="Heading2"/>
        <w:rPr/>
      </w:pPr>
      <w:bookmarkStart w:id="19" w:name="__RefHeading___Toc3470_158910726"/>
      <w:bookmarkEnd w:id="19"/>
      <w:r>
        <w:rPr>
          <w:rFonts w:eastAsia="Arial" w:cs="Arial" w:ascii="Arial" w:hAnsi="Arial"/>
        </w:rPr>
        <w:t>4.3 Priorización basada en riesgo</w:t>
      </w:r>
    </w:p>
    <w:p>
      <w:pPr>
        <w:pStyle w:val="Normal"/>
        <w:spacing w:lineRule="exact" w:line="360" w:before="0" w:after="120"/>
        <w:jc w:val="both"/>
        <w:rPr/>
      </w:pPr>
      <w:r>
        <w:rPr>
          <w:rFonts w:eastAsia="Arial" w:cs="Arial"/>
          <w:sz w:val="22"/>
          <w:szCs w:val="22"/>
        </w:rPr>
        <w:t>La prioridad se obtiene de probabilidad × impacto, considerando además qué tan sensible es el dato involucrado.</w:t>
      </w:r>
    </w:p>
    <w:tbl>
      <w:tblPr>
        <w:tblW w:w="9026" w:type="dxa"/>
        <w:jc w:val="left"/>
        <w:tblInd w:w="0" w:type="dxa"/>
        <w:tblLayout w:type="fixed"/>
        <w:tblCellMar>
          <w:top w:w="50" w:type="dxa"/>
          <w:left w:w="90" w:type="dxa"/>
          <w:bottom w:w="50" w:type="dxa"/>
          <w:right w:w="90" w:type="dxa"/>
        </w:tblCellMar>
      </w:tblPr>
      <w:tblGrid>
        <w:gridCol w:w="1500"/>
        <w:gridCol w:w="3174"/>
        <w:gridCol w:w="1616"/>
        <w:gridCol w:w="2735"/>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Prioridad</w:t>
            </w:r>
          </w:p>
        </w:tc>
        <w:tc>
          <w:tcPr>
            <w:tcW w:w="317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Riesgo</w:t>
            </w:r>
          </w:p>
        </w:tc>
        <w:tc>
          <w:tcPr>
            <w:tcW w:w="161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c>
          <w:tcPr>
            <w:tcW w:w="2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Justificación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a datos de otra empresa o escritura con rol editor</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NFR-SEG-4, RB-2, RB-4</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Exposición de datos personales y bancarios; incumplimiento legal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Suplantación de sesión o token no revocado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RF-1.2, NFR-SEG-9</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Compromete todo el sistema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Inyección SQL, XSS o CSRF</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Pérdida de integridad y confidencialidad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compartido de documento accesible sin control</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Fuga de contratos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Falta de registro de auditoría</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trazabilidad no se demuestra cumplimiento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incorrecto del estado del contrato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Decisiones de negocio erróneas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Incumplimiento de umbrales de rendimiento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a 3</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Afecta la operación diaria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 – Media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Barreras de usabilidad y accesibilidad</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 3.1.1</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Exclusión de adultos mayores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 – Media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Diferencias entre navegadores</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Experiencia inconsistente</w:t>
            </w:r>
          </w:p>
        </w:tc>
      </w:tr>
    </w:tbl>
    <w:p>
      <w:pPr>
        <w:pStyle w:val="Normal"/>
        <w:spacing w:before="0" w:after="120"/>
        <w:rPr/>
      </w:pPr>
      <w:r>
        <w:rPr/>
      </w:r>
    </w:p>
    <w:p>
      <w:pPr>
        <w:pStyle w:val="Heading2"/>
        <w:rPr/>
      </w:pPr>
      <w:bookmarkStart w:id="20" w:name="__RefHeading___Toc3472_158910726"/>
      <w:bookmarkEnd w:id="20"/>
      <w:r>
        <w:rPr>
          <w:rFonts w:eastAsia="Arial" w:cs="Arial" w:ascii="Arial" w:hAnsi="Arial"/>
        </w:rPr>
        <w:t>4.4 Criterios de entrada</w:t>
      </w:r>
    </w:p>
    <w:p>
      <w:pPr>
        <w:pStyle w:val="ListParagraph"/>
        <w:numPr>
          <w:ilvl w:val="0"/>
          <w:numId w:val="1"/>
        </w:numPr>
        <w:spacing w:lineRule="exact" w:line="360" w:before="0" w:after="60"/>
        <w:jc w:val="both"/>
        <w:rPr/>
      </w:pPr>
      <w:r>
        <w:rPr>
          <w:rFonts w:eastAsia="Arial" w:cs="Arial"/>
          <w:sz w:val="22"/>
          <w:szCs w:val="22"/>
        </w:rPr>
        <w:t>ERS v1.1 aprobada y dudas de la sección 2.4 resueltas o asumidas formalmente.</w:t>
      </w:r>
    </w:p>
    <w:p>
      <w:pPr>
        <w:pStyle w:val="ListParagraph"/>
        <w:numPr>
          <w:ilvl w:val="0"/>
          <w:numId w:val="1"/>
        </w:numPr>
        <w:spacing w:lineRule="exact" w:line="360" w:before="0" w:after="60"/>
        <w:jc w:val="both"/>
        <w:rPr/>
      </w:pPr>
      <w:r>
        <w:rPr>
          <w:rFonts w:eastAsia="Arial" w:cs="Arial"/>
          <w:sz w:val="22"/>
          <w:szCs w:val="22"/>
        </w:rPr>
        <w:t>Build desplegado en ambiente QA con TLS habilitado y migraciones aplicadas.</w:t>
      </w:r>
    </w:p>
    <w:p>
      <w:pPr>
        <w:pStyle w:val="ListParagraph"/>
        <w:numPr>
          <w:ilvl w:val="0"/>
          <w:numId w:val="1"/>
        </w:numPr>
        <w:spacing w:lineRule="exact" w:line="360" w:before="0" w:after="60"/>
        <w:jc w:val="both"/>
        <w:rPr/>
      </w:pPr>
      <w:r>
        <w:rPr>
          <w:rFonts w:eastAsia="Arial" w:cs="Arial"/>
          <w:sz w:val="22"/>
          <w:szCs w:val="22"/>
        </w:rPr>
        <w:t>Pruebas unitarias del sprint aprobadas en el pipeline.</w:t>
      </w:r>
    </w:p>
    <w:p>
      <w:pPr>
        <w:pStyle w:val="ListParagraph"/>
        <w:numPr>
          <w:ilvl w:val="0"/>
          <w:numId w:val="1"/>
        </w:numPr>
        <w:spacing w:lineRule="exact" w:line="360" w:before="0" w:after="60"/>
        <w:jc w:val="both"/>
        <w:rPr/>
      </w:pPr>
      <w:r>
        <w:rPr>
          <w:rFonts w:eastAsia="Arial" w:cs="Arial"/>
          <w:sz w:val="22"/>
          <w:szCs w:val="22"/>
        </w:rPr>
        <w:t>Datos de prueba ficticios o anonimizados cargados (nunca datos reales de clientes).</w:t>
      </w:r>
    </w:p>
    <w:p>
      <w:pPr>
        <w:pStyle w:val="ListParagraph"/>
        <w:numPr>
          <w:ilvl w:val="0"/>
          <w:numId w:val="1"/>
        </w:numPr>
        <w:spacing w:lineRule="exact" w:line="360" w:before="0" w:after="60"/>
        <w:jc w:val="both"/>
        <w:rPr/>
      </w:pPr>
      <w:r>
        <w:rPr>
          <w:rFonts w:eastAsia="Arial" w:cs="Arial"/>
          <w:sz w:val="22"/>
          <w:szCs w:val="22"/>
        </w:rPr>
        <w:t>Herramientas configuradas y accesos entregados al equipo de QA.</w:t>
      </w:r>
    </w:p>
    <w:p>
      <w:pPr>
        <w:pStyle w:val="ListParagraph"/>
        <w:numPr>
          <w:ilvl w:val="0"/>
          <w:numId w:val="1"/>
        </w:numPr>
        <w:spacing w:lineRule="exact" w:line="360" w:before="0" w:after="60"/>
        <w:jc w:val="both"/>
        <w:rPr/>
      </w:pPr>
      <w:r>
        <w:rPr>
          <w:rFonts w:eastAsia="Arial" w:cs="Arial"/>
          <w:sz w:val="22"/>
          <w:szCs w:val="22"/>
        </w:rPr>
        <w:t>Autorización escrita para ejecutar pruebas de penetración.</w:t>
      </w:r>
    </w:p>
    <w:p>
      <w:pPr>
        <w:pStyle w:val="Heading2"/>
        <w:rPr/>
      </w:pPr>
      <w:bookmarkStart w:id="21" w:name="__RefHeading___Toc3474_158910726"/>
      <w:bookmarkEnd w:id="21"/>
      <w:r>
        <w:rPr>
          <w:rFonts w:eastAsia="Arial" w:cs="Arial" w:ascii="Arial" w:hAnsi="Arial"/>
        </w:rPr>
        <w:t>4.5 Criterios de salida</w:t>
      </w:r>
    </w:p>
    <w:p>
      <w:pPr>
        <w:pStyle w:val="ListParagraph"/>
        <w:numPr>
          <w:ilvl w:val="0"/>
          <w:numId w:val="1"/>
        </w:numPr>
        <w:spacing w:lineRule="exact" w:line="360" w:before="0" w:after="60"/>
        <w:jc w:val="both"/>
        <w:rPr/>
      </w:pPr>
      <w:r>
        <w:rPr>
          <w:rFonts w:eastAsia="Arial" w:cs="Arial"/>
          <w:sz w:val="22"/>
          <w:szCs w:val="22"/>
        </w:rPr>
        <w:t>100 % de los casos P1 ejecutados y aprobados.</w:t>
      </w:r>
    </w:p>
    <w:p>
      <w:pPr>
        <w:pStyle w:val="ListParagraph"/>
        <w:numPr>
          <w:ilvl w:val="0"/>
          <w:numId w:val="1"/>
        </w:numPr>
        <w:spacing w:lineRule="exact" w:line="360" w:before="0" w:after="60"/>
        <w:jc w:val="both"/>
        <w:rPr/>
      </w:pPr>
      <w:r>
        <w:rPr>
          <w:rFonts w:eastAsia="Arial" w:cs="Arial"/>
          <w:sz w:val="22"/>
          <w:szCs w:val="22"/>
        </w:rPr>
        <w:t xml:space="preserve">≥ </w:t>
      </w:r>
      <w:r>
        <w:rPr>
          <w:rFonts w:eastAsia="Arial" w:cs="Arial"/>
          <w:sz w:val="22"/>
          <w:szCs w:val="22"/>
        </w:rPr>
        <w:t>95 % de los casos P2 y P3 aprobados, sin defectos abiertos de severidad crítica o alta.</w:t>
      </w:r>
    </w:p>
    <w:p>
      <w:pPr>
        <w:pStyle w:val="ListParagraph"/>
        <w:numPr>
          <w:ilvl w:val="0"/>
          <w:numId w:val="1"/>
        </w:numPr>
        <w:spacing w:lineRule="exact" w:line="360" w:before="0" w:after="60"/>
        <w:jc w:val="both"/>
        <w:rPr/>
      </w:pPr>
      <w:r>
        <w:rPr>
          <w:rFonts w:eastAsia="Arial" w:cs="Arial"/>
          <w:sz w:val="22"/>
          <w:szCs w:val="22"/>
        </w:rPr>
        <w:t>0 vulnerabilidades críticas o altas abiertas (OWASP ZAP, SAST, SCA y pentest).</w:t>
      </w:r>
    </w:p>
    <w:p>
      <w:pPr>
        <w:pStyle w:val="ListParagraph"/>
        <w:numPr>
          <w:ilvl w:val="0"/>
          <w:numId w:val="1"/>
        </w:numPr>
        <w:spacing w:lineRule="exact" w:line="360" w:before="0" w:after="60"/>
        <w:jc w:val="both"/>
        <w:rPr/>
      </w:pPr>
      <w:r>
        <w:rPr>
          <w:rFonts w:eastAsia="Arial" w:cs="Arial"/>
          <w:sz w:val="22"/>
          <w:szCs w:val="22"/>
        </w:rPr>
        <w:t>Umbrales de NFR-PERF cumplidos en la prueba de carga.</w:t>
      </w:r>
    </w:p>
    <w:p>
      <w:pPr>
        <w:pStyle w:val="ListParagraph"/>
        <w:numPr>
          <w:ilvl w:val="0"/>
          <w:numId w:val="1"/>
        </w:numPr>
        <w:spacing w:lineRule="exact" w:line="360" w:before="0" w:after="60"/>
        <w:jc w:val="both"/>
        <w:rPr/>
      </w:pPr>
      <w:r>
        <w:rPr>
          <w:rFonts w:eastAsia="Arial" w:cs="Arial"/>
          <w:sz w:val="22"/>
          <w:szCs w:val="22"/>
        </w:rPr>
        <w:t>SUS ≥ 70 y sin bloqueos mayores en pruebas con adultos mayores.</w:t>
      </w:r>
    </w:p>
    <w:p>
      <w:pPr>
        <w:pStyle w:val="ListParagraph"/>
        <w:numPr>
          <w:ilvl w:val="0"/>
          <w:numId w:val="1"/>
        </w:numPr>
        <w:spacing w:lineRule="exact" w:line="360" w:before="0" w:after="60"/>
        <w:jc w:val="both"/>
        <w:rPr/>
      </w:pPr>
      <w:r>
        <w:rPr>
          <w:rFonts w:eastAsia="Arial" w:cs="Arial"/>
          <w:sz w:val="22"/>
          <w:szCs w:val="22"/>
        </w:rPr>
        <w:t>Matriz de trazabilidad con cobertura del 100 % de los requerimientos esenciales.</w:t>
      </w:r>
    </w:p>
    <w:p>
      <w:pPr>
        <w:pStyle w:val="ListParagraph"/>
        <w:numPr>
          <w:ilvl w:val="0"/>
          <w:numId w:val="1"/>
        </w:numPr>
        <w:spacing w:lineRule="exact" w:line="360" w:before="0" w:after="60"/>
        <w:jc w:val="both"/>
        <w:rPr/>
      </w:pPr>
      <w:r>
        <w:rPr>
          <w:rFonts w:eastAsia="Arial" w:cs="Arial"/>
          <w:sz w:val="22"/>
          <w:szCs w:val="22"/>
        </w:rPr>
        <w:t>Informe de resultados aprobado por QA Lead y Product Owner.</w:t>
      </w:r>
    </w:p>
    <w:p>
      <w:pPr>
        <w:pStyle w:val="Heading2"/>
        <w:rPr/>
      </w:pPr>
      <w:bookmarkStart w:id="22" w:name="__RefHeading___Toc3476_158910726"/>
      <w:bookmarkEnd w:id="22"/>
      <w:r>
        <w:rPr>
          <w:rFonts w:eastAsia="Arial" w:cs="Arial" w:ascii="Arial" w:hAnsi="Arial"/>
        </w:rPr>
        <w:t>4.6 Criterios de suspensión y reanudación</w:t>
      </w:r>
    </w:p>
    <w:p>
      <w:pPr>
        <w:pStyle w:val="Normal"/>
        <w:spacing w:lineRule="exact" w:line="360" w:before="0" w:after="120"/>
        <w:jc w:val="both"/>
        <w:rPr/>
      </w:pPr>
      <w:r>
        <w:rPr>
          <w:rFonts w:eastAsia="Arial" w:cs="Arial"/>
          <w:sz w:val="22"/>
          <w:szCs w:val="22"/>
        </w:rPr>
        <w:t>Las pruebas se suspenden si el ambiente QA no está disponible, si un defecto bloqueante impide ejecutar más del 30 % de los casos planificados o si se detecta una vulnerabilidad crítica que exponga datos. Se reanudan cuando el defecto se corrige y se verifica con una prueba de confirmación, seguida de la regresión del módulo afectado.</w:t>
      </w:r>
    </w:p>
    <w:p>
      <w:pPr>
        <w:pStyle w:val="Heading2"/>
        <w:rPr/>
      </w:pPr>
      <w:bookmarkStart w:id="23" w:name="__RefHeading___Toc3478_158910726"/>
      <w:bookmarkEnd w:id="23"/>
      <w:r>
        <w:rPr>
          <w:rFonts w:eastAsia="Arial" w:cs="Arial" w:ascii="Arial" w:hAnsi="Arial"/>
        </w:rPr>
        <w:t>4.7 Gestión de defectos</w:t>
      </w:r>
    </w:p>
    <w:p>
      <w:pPr>
        <w:pStyle w:val="Normal"/>
        <w:spacing w:lineRule="exact" w:line="360" w:before="0" w:after="120"/>
        <w:jc w:val="both"/>
        <w:rPr/>
      </w:pPr>
      <w:r>
        <w:rPr>
          <w:rFonts w:eastAsia="Arial" w:cs="Arial"/>
          <w:sz w:val="22"/>
          <w:szCs w:val="22"/>
        </w:rPr>
        <w:t>Cada defecto se registra en Jira con severidad (crítica, alta, media, baja), pasos de reproducción, evidencia y requerimiento asociado. El ciclo es: nuevo → asignado → en corrección → listo para verificar → cerrado o reabierto. Los defectos de seguridad se manejan con visibilidad restringida.</w:t>
      </w:r>
    </w:p>
    <w:p>
      <w:pPr>
        <w:pStyle w:val="Heading1"/>
        <w:rPr/>
      </w:pPr>
      <w:bookmarkStart w:id="24" w:name="__RefHeading___Toc3480_158910726"/>
      <w:bookmarkEnd w:id="24"/>
      <w:r>
        <w:rPr>
          <w:rFonts w:eastAsia="Arial" w:cs="Arial" w:ascii="Arial" w:hAnsi="Arial"/>
        </w:rPr>
        <w:t>5. Criterios de aceptación transversales</w:t>
      </w:r>
    </w:p>
    <w:p>
      <w:pPr>
        <w:pStyle w:val="Normal"/>
        <w:spacing w:lineRule="exact" w:line="360" w:before="0" w:after="120"/>
        <w:jc w:val="both"/>
        <w:rPr/>
      </w:pPr>
      <w:r>
        <w:rPr>
          <w:rFonts w:eastAsia="Arial" w:cs="Arial"/>
          <w:sz w:val="22"/>
          <w:szCs w:val="22"/>
        </w:rPr>
        <w:t xml:space="preserve">Estos criterios aplican a todos los casos, además del criterio propio de cada uno. Un caso queda </w:t>
      </w:r>
      <w:r>
        <w:rPr>
          <w:rFonts w:eastAsia="Arial" w:cs="Arial"/>
          <w:b/>
          <w:bCs/>
          <w:sz w:val="22"/>
          <w:szCs w:val="22"/>
        </w:rPr>
        <w:t>aprobado</w:t>
      </w:r>
      <w:r>
        <w:rPr>
          <w:rFonts w:eastAsia="Arial" w:cs="Arial"/>
          <w:sz w:val="22"/>
          <w:szCs w:val="22"/>
        </w:rPr>
        <w:t xml:space="preserve"> solo si obtiene el resultado esperado y no incumple ninguno de los puntos siguientes.</w:t>
      </w:r>
    </w:p>
    <w:p>
      <w:pPr>
        <w:pStyle w:val="Heading2"/>
        <w:rPr/>
      </w:pPr>
      <w:bookmarkStart w:id="25" w:name="__RefHeading___Toc3482_158910726"/>
      <w:bookmarkEnd w:id="25"/>
      <w:r>
        <w:rPr>
          <w:rFonts w:eastAsia="Arial" w:cs="Arial" w:ascii="Arial" w:hAnsi="Arial"/>
        </w:rPr>
        <w:t>5.1 Criterios funcionales</w:t>
      </w:r>
    </w:p>
    <w:p>
      <w:pPr>
        <w:pStyle w:val="ListParagraph"/>
        <w:numPr>
          <w:ilvl w:val="0"/>
          <w:numId w:val="1"/>
        </w:numPr>
        <w:spacing w:lineRule="exact" w:line="360" w:before="0" w:after="60"/>
        <w:jc w:val="both"/>
        <w:rPr/>
      </w:pPr>
      <w:r>
        <w:rPr>
          <w:rFonts w:eastAsia="Arial" w:cs="Arial"/>
          <w:sz w:val="22"/>
          <w:szCs w:val="22"/>
        </w:rPr>
        <w:t>El sistema ejecuta la operación completa y persiste los datos correctamente en PostgreSQL.</w:t>
      </w:r>
    </w:p>
    <w:p>
      <w:pPr>
        <w:pStyle w:val="ListParagraph"/>
        <w:numPr>
          <w:ilvl w:val="0"/>
          <w:numId w:val="1"/>
        </w:numPr>
        <w:spacing w:lineRule="exact" w:line="360" w:before="0" w:after="60"/>
        <w:jc w:val="both"/>
        <w:rPr/>
      </w:pPr>
      <w:r>
        <w:rPr>
          <w:rFonts w:eastAsia="Arial" w:cs="Arial"/>
          <w:sz w:val="22"/>
          <w:szCs w:val="22"/>
        </w:rPr>
        <w:t>Las validaciones se aplican en backend, aunque existan en frontend; una petición directa a la API con datos inválidos debe ser rechazada con HTTP 400 o 422.</w:t>
      </w:r>
    </w:p>
    <w:p>
      <w:pPr>
        <w:pStyle w:val="ListParagraph"/>
        <w:numPr>
          <w:ilvl w:val="0"/>
          <w:numId w:val="1"/>
        </w:numPr>
        <w:spacing w:lineRule="exact" w:line="360" w:before="0" w:after="60"/>
        <w:jc w:val="both"/>
        <w:rPr/>
      </w:pPr>
      <w:r>
        <w:rPr>
          <w:rFonts w:eastAsia="Arial" w:cs="Arial"/>
          <w:sz w:val="22"/>
          <w:szCs w:val="22"/>
        </w:rPr>
        <w:t>Las eliminaciones son lógicas y solicitan confirmación previa al usuario (criterio RF-4).</w:t>
      </w:r>
    </w:p>
    <w:p>
      <w:pPr>
        <w:pStyle w:val="ListParagraph"/>
        <w:numPr>
          <w:ilvl w:val="0"/>
          <w:numId w:val="1"/>
        </w:numPr>
        <w:spacing w:lineRule="exact" w:line="360" w:before="0" w:after="60"/>
        <w:jc w:val="both"/>
        <w:rPr/>
      </w:pPr>
      <w:r>
        <w:rPr>
          <w:rFonts w:eastAsia="Arial" w:cs="Arial"/>
          <w:sz w:val="22"/>
          <w:szCs w:val="22"/>
        </w:rPr>
        <w:t>Toda operación crítica genera un registro de auditoría con usuario, empresa, acción, recurso, fecha y hora (RF-6.1).</w:t>
      </w:r>
    </w:p>
    <w:p>
      <w:pPr>
        <w:pStyle w:val="Heading2"/>
        <w:rPr/>
      </w:pPr>
      <w:bookmarkStart w:id="26" w:name="__RefHeading___Toc3484_158910726"/>
      <w:bookmarkEnd w:id="26"/>
      <w:r>
        <w:rPr>
          <w:rFonts w:eastAsia="Arial" w:cs="Arial" w:ascii="Arial" w:hAnsi="Arial"/>
        </w:rPr>
        <w:t>5.2 Criterios de seguridad</w:t>
      </w:r>
    </w:p>
    <w:p>
      <w:pPr>
        <w:pStyle w:val="ListParagraph"/>
        <w:numPr>
          <w:ilvl w:val="0"/>
          <w:numId w:val="1"/>
        </w:numPr>
        <w:spacing w:lineRule="exact" w:line="360" w:before="0" w:after="60"/>
        <w:jc w:val="both"/>
        <w:rPr/>
      </w:pPr>
      <w:r>
        <w:rPr>
          <w:rFonts w:eastAsia="Arial" w:cs="Arial"/>
          <w:sz w:val="22"/>
          <w:szCs w:val="22"/>
        </w:rPr>
        <w:t>Un recurso no autorizado responde HTTP 401 (sin autenticación) o 403 (sin permiso), sin revelar si el recurso existe.</w:t>
      </w:r>
    </w:p>
    <w:p>
      <w:pPr>
        <w:pStyle w:val="ListParagraph"/>
        <w:numPr>
          <w:ilvl w:val="0"/>
          <w:numId w:val="1"/>
        </w:numPr>
        <w:spacing w:lineRule="exact" w:line="360" w:before="0" w:after="60"/>
        <w:jc w:val="both"/>
        <w:rPr/>
      </w:pPr>
      <w:r>
        <w:rPr>
          <w:rFonts w:eastAsia="Arial" w:cs="Arial"/>
          <w:sz w:val="22"/>
          <w:szCs w:val="22"/>
        </w:rPr>
        <w:t>Ninguna respuesta de la API ni mensaje de error expone contraseñas, hashes, tokens, trazas de pila o consultas SQL.</w:t>
      </w:r>
    </w:p>
    <w:p>
      <w:pPr>
        <w:pStyle w:val="ListParagraph"/>
        <w:numPr>
          <w:ilvl w:val="0"/>
          <w:numId w:val="1"/>
        </w:numPr>
        <w:spacing w:lineRule="exact" w:line="360" w:before="0" w:after="60"/>
        <w:jc w:val="both"/>
        <w:rPr/>
      </w:pPr>
      <w:r>
        <w:rPr>
          <w:rFonts w:eastAsia="Arial" w:cs="Arial"/>
          <w:sz w:val="22"/>
          <w:szCs w:val="22"/>
        </w:rPr>
        <w:t>Los datos bancarios se almacenan cifrados y no se escriben en logs en texto plano.</w:t>
      </w:r>
    </w:p>
    <w:p>
      <w:pPr>
        <w:pStyle w:val="ListParagraph"/>
        <w:numPr>
          <w:ilvl w:val="0"/>
          <w:numId w:val="1"/>
        </w:numPr>
        <w:spacing w:lineRule="exact" w:line="360" w:before="0" w:after="60"/>
        <w:jc w:val="both"/>
        <w:rPr/>
      </w:pPr>
      <w:r>
        <w:rPr>
          <w:rFonts w:eastAsia="Arial" w:cs="Arial"/>
          <w:sz w:val="22"/>
          <w:szCs w:val="22"/>
        </w:rPr>
        <w:t>Toda comunicación se realiza por HTTPS; las peticiones HTTP se redirigen o rechazan.</w:t>
      </w:r>
    </w:p>
    <w:p>
      <w:pPr>
        <w:pStyle w:val="Heading2"/>
        <w:rPr/>
      </w:pPr>
      <w:bookmarkStart w:id="27" w:name="__RefHeading___Toc3486_158910726"/>
      <w:bookmarkEnd w:id="27"/>
      <w:r>
        <w:rPr>
          <w:rFonts w:eastAsia="Arial" w:cs="Arial" w:ascii="Arial" w:hAnsi="Arial"/>
        </w:rPr>
        <w:t>5.3 Criterios no funcionales</w:t>
      </w:r>
    </w:p>
    <w:p>
      <w:pPr>
        <w:pStyle w:val="ListParagraph"/>
        <w:numPr>
          <w:ilvl w:val="0"/>
          <w:numId w:val="1"/>
        </w:numPr>
        <w:spacing w:lineRule="exact" w:line="360" w:before="0" w:after="60"/>
        <w:jc w:val="both"/>
        <w:rPr/>
      </w:pPr>
      <w:r>
        <w:rPr>
          <w:rFonts w:eastAsia="Arial" w:cs="Arial"/>
          <w:sz w:val="22"/>
          <w:szCs w:val="22"/>
        </w:rPr>
        <w:t>Operaciones CRUD simples con percentil 95 inferior a 300 ms bajo carga normal (NFR-PERF-1).</w:t>
      </w:r>
    </w:p>
    <w:p>
      <w:pPr>
        <w:pStyle w:val="ListParagraph"/>
        <w:numPr>
          <w:ilvl w:val="0"/>
          <w:numId w:val="1"/>
        </w:numPr>
        <w:spacing w:lineRule="exact" w:line="360" w:before="0" w:after="60"/>
        <w:jc w:val="both"/>
        <w:rPr/>
      </w:pPr>
      <w:r>
        <w:rPr>
          <w:rFonts w:eastAsia="Arial" w:cs="Arial"/>
          <w:sz w:val="22"/>
          <w:szCs w:val="22"/>
        </w:rPr>
        <w:t>Página principal cargada en menos de 2 segundos en perfil de red móvil (NFR-PERF-2).</w:t>
      </w:r>
    </w:p>
    <w:p>
      <w:pPr>
        <w:pStyle w:val="ListParagraph"/>
        <w:numPr>
          <w:ilvl w:val="0"/>
          <w:numId w:val="1"/>
        </w:numPr>
        <w:spacing w:lineRule="exact" w:line="360" w:before="0" w:after="60"/>
        <w:jc w:val="both"/>
        <w:rPr/>
      </w:pPr>
      <w:r>
        <w:rPr>
          <w:rFonts w:eastAsia="Arial" w:cs="Arial"/>
          <w:sz w:val="22"/>
          <w:szCs w:val="22"/>
        </w:rPr>
        <w:t>Tasa de error inferior al 1 % con 200 usuarios concurrentes (NFR-PERF-3).</w:t>
      </w:r>
    </w:p>
    <w:p>
      <w:pPr>
        <w:pStyle w:val="ListParagraph"/>
        <w:numPr>
          <w:ilvl w:val="0"/>
          <w:numId w:val="1"/>
        </w:numPr>
        <w:spacing w:lineRule="exact" w:line="360" w:before="0" w:after="60"/>
        <w:jc w:val="both"/>
        <w:rPr/>
      </w:pPr>
      <w:r>
        <w:rPr>
          <w:rFonts w:eastAsia="Arial" w:cs="Arial"/>
          <w:sz w:val="22"/>
          <w:szCs w:val="22"/>
        </w:rPr>
        <w:t>Subida y descarga de documentos en 10 segundos o menos (criterio RF-5).</w:t>
      </w:r>
    </w:p>
    <w:p>
      <w:pPr>
        <w:pStyle w:val="ListParagraph"/>
        <w:numPr>
          <w:ilvl w:val="0"/>
          <w:numId w:val="1"/>
        </w:numPr>
        <w:spacing w:lineRule="exact" w:line="360" w:before="0" w:after="60"/>
        <w:jc w:val="both"/>
        <w:rPr/>
      </w:pPr>
      <w:r>
        <w:rPr>
          <w:rFonts w:eastAsia="Arial" w:cs="Arial"/>
          <w:sz w:val="22"/>
          <w:szCs w:val="22"/>
        </w:rPr>
        <w:t>Sin incumplimientos WCAG 2.1 AA de nivel crítico; contraste mínimo 4,5:1 en texto normal.</w:t>
      </w:r>
    </w:p>
    <w:p>
      <w:pPr>
        <w:pStyle w:val="Heading2"/>
        <w:rPr/>
      </w:pPr>
      <w:bookmarkStart w:id="28" w:name="__RefHeading___Toc3488_158910726"/>
      <w:bookmarkEnd w:id="28"/>
      <w:r>
        <w:rPr>
          <w:rFonts w:eastAsia="Arial" w:cs="Arial" w:ascii="Arial" w:hAnsi="Arial"/>
        </w:rPr>
        <w:t>5.4 Criterios de reglas de negocio</w:t>
      </w:r>
    </w:p>
    <w:p>
      <w:pPr>
        <w:pStyle w:val="ListParagraph"/>
        <w:numPr>
          <w:ilvl w:val="0"/>
          <w:numId w:val="1"/>
        </w:numPr>
        <w:spacing w:lineRule="exact" w:line="360" w:before="0" w:after="60"/>
        <w:jc w:val="both"/>
        <w:rPr/>
      </w:pPr>
      <w:r>
        <w:rPr>
          <w:rFonts w:eastAsia="Arial" w:cs="Arial"/>
          <w:sz w:val="22"/>
          <w:szCs w:val="22"/>
        </w:rPr>
        <w:t>Solo usuarios vinculados en empresa_usuarios ven o editan datos de su empresa (RB-2).</w:t>
      </w:r>
    </w:p>
    <w:p>
      <w:pPr>
        <w:pStyle w:val="ListParagraph"/>
        <w:numPr>
          <w:ilvl w:val="0"/>
          <w:numId w:val="1"/>
        </w:numPr>
        <w:spacing w:lineRule="exact" w:line="360" w:before="0" w:after="60"/>
        <w:jc w:val="both"/>
        <w:rPr/>
      </w:pPr>
      <w:r>
        <w:rPr>
          <w:rFonts w:eastAsia="Arial" w:cs="Arial"/>
          <w:sz w:val="22"/>
          <w:szCs w:val="22"/>
        </w:rPr>
        <w:t>El rol editor no puede crear, editar ni eliminar (RB-4); el administrador tiene acceso completo (RB-5).</w:t>
      </w:r>
    </w:p>
    <w:p>
      <w:pPr>
        <w:pStyle w:val="ListParagraph"/>
        <w:numPr>
          <w:ilvl w:val="0"/>
          <w:numId w:val="1"/>
        </w:numPr>
        <w:spacing w:lineRule="exact" w:line="360" w:before="0" w:after="60"/>
        <w:jc w:val="both"/>
        <w:rPr/>
      </w:pPr>
      <w:r>
        <w:rPr>
          <w:rFonts w:eastAsia="Arial" w:cs="Arial"/>
          <w:sz w:val="22"/>
          <w:szCs w:val="22"/>
        </w:rPr>
        <w:t>Un contrato pertenece a un único cliente (RB-3).</w:t>
      </w:r>
    </w:p>
    <w:p>
      <w:pPr>
        <w:pStyle w:val="ListParagraph"/>
        <w:numPr>
          <w:ilvl w:val="0"/>
          <w:numId w:val="1"/>
        </w:numPr>
        <w:spacing w:lineRule="exact" w:line="360" w:before="0" w:after="60"/>
        <w:jc w:val="both"/>
        <w:rPr/>
      </w:pPr>
      <w:r>
        <w:rPr>
          <w:rFonts w:eastAsia="Arial" w:cs="Arial"/>
          <w:sz w:val="22"/>
          <w:szCs w:val="22"/>
        </w:rPr>
        <w:t>El correo principal no se repite entre empresas mientras la política esté activa (RB-1).</w:t>
      </w:r>
    </w:p>
    <w:p>
      <w:pPr>
        <w:pStyle w:val="Heading2"/>
        <w:rPr/>
      </w:pPr>
      <w:bookmarkStart w:id="29" w:name="__RefHeading___Toc3490_158910726"/>
      <w:bookmarkEnd w:id="29"/>
      <w:r>
        <w:rPr>
          <w:rFonts w:eastAsia="Arial" w:cs="Arial" w:ascii="Arial" w:hAnsi="Arial"/>
        </w:rPr>
        <w:t>5.5 Severidad de defectos</w:t>
      </w:r>
    </w:p>
    <w:tbl>
      <w:tblPr>
        <w:tblW w:w="9026" w:type="dxa"/>
        <w:jc w:val="left"/>
        <w:tblInd w:w="0" w:type="dxa"/>
        <w:tblLayout w:type="fixed"/>
        <w:tblCellMar>
          <w:top w:w="50" w:type="dxa"/>
          <w:left w:w="90" w:type="dxa"/>
          <w:bottom w:w="50" w:type="dxa"/>
          <w:right w:w="90" w:type="dxa"/>
        </w:tblCellMar>
      </w:tblPr>
      <w:tblGrid>
        <w:gridCol w:w="1500"/>
        <w:gridCol w:w="4851"/>
        <w:gridCol w:w="2675"/>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Severidad</w:t>
            </w:r>
          </w:p>
        </w:tc>
        <w:tc>
          <w:tcPr>
            <w:tcW w:w="485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Definición</w:t>
            </w:r>
          </w:p>
        </w:tc>
        <w:tc>
          <w:tcPr>
            <w:tcW w:w="267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Efecto sobre la aceptación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Crítica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Pérdida o exposición de datos, caída del sistema, vulneración de seguridad</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Bloquea la liberación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Alta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Función esencial no disponible sin alternativa</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Bloquea la liberación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Función afectada con alternativa disponible</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 acepta con plan de corrección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Baja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Defecto visual o de redacción</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 acepta y se agenda</w:t>
            </w:r>
          </w:p>
        </w:tc>
      </w:tr>
    </w:tbl>
    <w:p>
      <w:pPr>
        <w:pStyle w:val="Normal"/>
        <w:spacing w:before="0" w:after="120"/>
        <w:rPr/>
      </w:pPr>
      <w:r>
        <w:rPr/>
      </w:r>
    </w:p>
    <w:p>
      <w:pPr>
        <w:pStyle w:val="Heading1"/>
        <w:rPr/>
      </w:pPr>
      <w:bookmarkStart w:id="30" w:name="__RefHeading___Toc3492_158910726"/>
      <w:bookmarkEnd w:id="30"/>
      <w:r>
        <w:rPr>
          <w:rFonts w:eastAsia="Arial" w:cs="Arial" w:ascii="Arial" w:hAnsi="Arial"/>
        </w:rPr>
        <w:t>6. Herramientas utilizadas</w:t>
      </w:r>
    </w:p>
    <w:tbl>
      <w:tblPr>
        <w:tblW w:w="9026" w:type="dxa"/>
        <w:jc w:val="left"/>
        <w:tblInd w:w="0" w:type="dxa"/>
        <w:tblLayout w:type="fixed"/>
        <w:tblCellMar>
          <w:top w:w="50" w:type="dxa"/>
          <w:left w:w="90" w:type="dxa"/>
          <w:bottom w:w="50" w:type="dxa"/>
          <w:right w:w="90" w:type="dxa"/>
        </w:tblCellMar>
      </w:tblPr>
      <w:tblGrid>
        <w:gridCol w:w="1649"/>
        <w:gridCol w:w="1795"/>
        <w:gridCol w:w="2668"/>
        <w:gridCol w:w="2913"/>
      </w:tblGrid>
      <w:tr>
        <w:trPr>
          <w:tblHeader w:val="true"/>
          <w:cantSplit w:val="true"/>
        </w:trPr>
        <w:tc>
          <w:tcPr>
            <w:tcW w:w="164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Herramienta</w:t>
            </w:r>
          </w:p>
        </w:tc>
        <w:tc>
          <w:tcPr>
            <w:tcW w:w="179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266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Uso en Atlas</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Fundamento</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 Supertest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e integración de API</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servicios y endpoints Express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Estándar en el ecosistema Node.js; se integra al pipeline CI</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React Testing Library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de componentes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Formularios de login, registro y clientes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componentes como los usa el usuario, favoreciendo accesibilidad</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(OpenAPI) + Postman/Newman</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API y contrato</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con aserciones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Exigido en el criterio de la sección 3.1.2 de la ERS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Playwright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End-to-end y compatibilidad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completos en Chromium, Firefox y WebKit (Safari)</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Cubre los navegadores de NFR-COMPAT-1 y emulación móvil</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 dispositivos reales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Safari iOS, tablets Android y Edge</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Complementa la emulación con dispositivos físicos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k6 (o Apache JMeter)</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estrés y picos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 y medición de p95</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Umbrales configurables que validan NFR-PERF automáticamente</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Google Lighthouse</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frontend y accesibilidad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móvil y auditoría básica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Mide directamente NFR-PERF-2</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axe DevTools / WAVE</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ARIA y estructura semántica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Verificación automatizada frente a WCAG 2.1 AA</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NVDA</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manual</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Navegación con lector de pantalla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 barreras que las herramientas automáticas no capturan</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System Usability Scale (SUS)</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Cuestionario tras sesiones con adultos mayores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Entrega el puntaje cuantitativo que exige NFR-USAB</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DAST</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de la API y la SPA en QA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Herramienta abierta alineada con OWASP Top 10</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Burp Suite Community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Pentest manual</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Manipulación de JWT, IDOR, CSRF y enlaces compartidos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Permite probar control de acceso con precisión</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SonarQube / Semgrep</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y calidad de código</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Vulnerabilidades y deuda técnica en cada commit</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desde el desarrollo (shift-left)</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npm audit + Dependabot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SCA</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Vulnerabilidades y licencias de dependencias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Controla OWASP A06 y la Ley 17.336</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SSL Labs / testssl.sh</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criptográficas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Versión y configuración de TLS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Evidencia objetiva de NFR-SEG-1</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continua</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suites en cada push</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constante y trazabilidad de ejecuciones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Jira + Xray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pruebas y defectos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ejecuciones, defectos y trazabilidad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Centraliza la evidencia de cumplimiento</w:t>
            </w:r>
          </w:p>
        </w:tc>
      </w:tr>
    </w:tbl>
    <w:p>
      <w:pPr>
        <w:pStyle w:val="Normal"/>
        <w:spacing w:before="0" w:after="120"/>
        <w:rPr/>
      </w:pPr>
      <w:r>
        <w:rPr/>
      </w:r>
    </w:p>
    <w:p>
      <w:pPr>
        <w:pStyle w:val="Heading1"/>
        <w:rPr/>
      </w:pPr>
      <w:bookmarkStart w:id="31" w:name="__RefHeading___Toc3494_158910726"/>
      <w:bookmarkEnd w:id="31"/>
      <w:r>
        <w:rPr>
          <w:rFonts w:eastAsia="Arial" w:cs="Arial" w:ascii="Arial" w:hAnsi="Arial"/>
        </w:rPr>
        <w:t>7. Recursos necesarios</w:t>
      </w:r>
    </w:p>
    <w:p>
      <w:pPr>
        <w:pStyle w:val="Heading2"/>
        <w:rPr/>
      </w:pPr>
      <w:bookmarkStart w:id="32" w:name="__RefHeading___Toc3496_158910726"/>
      <w:bookmarkEnd w:id="32"/>
      <w:r>
        <w:rPr>
          <w:rFonts w:eastAsia="Arial" w:cs="Arial" w:ascii="Arial" w:hAnsi="Arial"/>
        </w:rPr>
        <w:t>7.1 Recursos humanos</w:t>
      </w:r>
    </w:p>
    <w:tbl>
      <w:tblPr>
        <w:tblW w:w="9026" w:type="dxa"/>
        <w:jc w:val="left"/>
        <w:tblInd w:w="0" w:type="dxa"/>
        <w:tblLayout w:type="fixed"/>
        <w:tblCellMar>
          <w:top w:w="50" w:type="dxa"/>
          <w:left w:w="90" w:type="dxa"/>
          <w:bottom w:w="50" w:type="dxa"/>
          <w:right w:w="90" w:type="dxa"/>
        </w:tblCellMar>
      </w:tblPr>
      <w:tblGrid>
        <w:gridCol w:w="2789"/>
        <w:gridCol w:w="1500"/>
        <w:gridCol w:w="4737"/>
      </w:tblGrid>
      <w:tr>
        <w:trPr>
          <w:tblHeader w:val="true"/>
          <w:cantSplit w:val="true"/>
        </w:trPr>
        <w:tc>
          <w:tcPr>
            <w:tcW w:w="278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Rol</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Cantidad</w:t>
            </w:r>
          </w:p>
        </w:tc>
        <w:tc>
          <w:tcPr>
            <w:tcW w:w="473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Responsabilidades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Planificación, priorización, seguimiento de criterios de salida e informe final</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QA funcional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Diseño y ejecución de casos funcionales, API, regresión y UAT</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Ingeniero de automatización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Scripts Playwright, Jest, Newman y k6; integración con CI</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de seguridad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DAST, pentest autorizado y revisión de cifrado</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Especialista UX/accesibilidad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con adultos mayores, SUS y auditoría WCAG</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Desarrolladores backend y frontend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Corrección de defectos y soporte de pruebas unitarias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DevOps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Ambientes, TLS, respaldos y monitoreo</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Product Owner (CreaLab)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Resolución de ambigüedades y aprobación de UAT</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Asesor legal (apoyo)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criterios de protección de datos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Usuarios representativos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Adultos mayores para pruebas de usabilidad (criterio 3.1.1)</w:t>
            </w:r>
          </w:p>
        </w:tc>
      </w:tr>
    </w:tbl>
    <w:p>
      <w:pPr>
        <w:pStyle w:val="Normal"/>
        <w:spacing w:before="0" w:after="120"/>
        <w:rPr/>
      </w:pPr>
      <w:r>
        <w:rPr/>
      </w:r>
    </w:p>
    <w:p>
      <w:pPr>
        <w:pStyle w:val="Heading2"/>
        <w:rPr/>
      </w:pPr>
      <w:bookmarkStart w:id="33" w:name="__RefHeading___Toc3498_158910726"/>
      <w:bookmarkEnd w:id="33"/>
      <w:r>
        <w:rPr>
          <w:rFonts w:eastAsia="Arial" w:cs="Arial" w:ascii="Arial" w:hAnsi="Arial"/>
        </w:rPr>
        <w:t>7.2 Recursos técnicos</w:t>
      </w:r>
    </w:p>
    <w:p>
      <w:pPr>
        <w:pStyle w:val="ListParagraph"/>
        <w:numPr>
          <w:ilvl w:val="0"/>
          <w:numId w:val="1"/>
        </w:numPr>
        <w:spacing w:lineRule="exact" w:line="360" w:before="0" w:after="60"/>
        <w:jc w:val="both"/>
        <w:rPr/>
      </w:pPr>
      <w:r>
        <w:rPr>
          <w:rFonts w:eastAsia="Arial" w:cs="Arial"/>
          <w:b/>
          <w:bCs/>
          <w:sz w:val="22"/>
          <w:szCs w:val="22"/>
        </w:rPr>
        <w:t>Software:</w:t>
      </w:r>
      <w:r>
        <w:rPr>
          <w:rFonts w:eastAsia="Arial" w:cs="Arial"/>
          <w:sz w:val="22"/>
          <w:szCs w:val="22"/>
        </w:rPr>
        <w:t xml:space="preserve"> Node.js 20 LTS, React 19.1.1, Express 4.19.2, PostgreSQL 16, pg 8.12.0, jsonwebtoken 9.0.2 y las herramientas de la sección 6.</w:t>
      </w:r>
    </w:p>
    <w:p>
      <w:pPr>
        <w:pStyle w:val="ListParagraph"/>
        <w:numPr>
          <w:ilvl w:val="0"/>
          <w:numId w:val="1"/>
        </w:numPr>
        <w:spacing w:lineRule="exact" w:line="360" w:before="0" w:after="60"/>
        <w:jc w:val="both"/>
        <w:rPr/>
      </w:pPr>
      <w:r>
        <w:rPr>
          <w:rFonts w:eastAsia="Arial" w:cs="Arial"/>
          <w:b/>
          <w:bCs/>
          <w:sz w:val="22"/>
          <w:szCs w:val="22"/>
        </w:rPr>
        <w:t>Navegadores:</w:t>
      </w:r>
      <w:r>
        <w:rPr>
          <w:rFonts w:eastAsia="Arial" w:cs="Arial"/>
          <w:sz w:val="22"/>
          <w:szCs w:val="22"/>
        </w:rPr>
        <w:t xml:space="preserve"> Chrome, Firefox, Safari y Edge en sus dos últimas versiones estables.</w:t>
      </w:r>
    </w:p>
    <w:p>
      <w:pPr>
        <w:pStyle w:val="ListParagraph"/>
        <w:numPr>
          <w:ilvl w:val="0"/>
          <w:numId w:val="1"/>
        </w:numPr>
        <w:spacing w:lineRule="exact" w:line="360" w:before="0" w:after="60"/>
        <w:jc w:val="both"/>
        <w:rPr/>
      </w:pPr>
      <w:r>
        <w:rPr>
          <w:rFonts w:eastAsia="Arial" w:cs="Arial"/>
          <w:b/>
          <w:bCs/>
          <w:sz w:val="22"/>
          <w:szCs w:val="22"/>
        </w:rPr>
        <w:t>Dispositivos:</w:t>
      </w:r>
      <w:r>
        <w:rPr>
          <w:rFonts w:eastAsia="Arial" w:cs="Arial"/>
          <w:sz w:val="22"/>
          <w:szCs w:val="22"/>
        </w:rPr>
        <w:t xml:space="preserve"> notebook Windows 11 y macOS; smartphone Android e iPhone; tablet Android y iPad.</w:t>
      </w:r>
    </w:p>
    <w:p>
      <w:pPr>
        <w:pStyle w:val="ListParagraph"/>
        <w:numPr>
          <w:ilvl w:val="0"/>
          <w:numId w:val="1"/>
        </w:numPr>
        <w:spacing w:lineRule="exact" w:line="360" w:before="0" w:after="60"/>
        <w:jc w:val="both"/>
        <w:rPr/>
      </w:pPr>
      <w:r>
        <w:rPr>
          <w:rFonts w:eastAsia="Arial" w:cs="Arial"/>
          <w:b/>
          <w:bCs/>
          <w:sz w:val="22"/>
          <w:szCs w:val="22"/>
        </w:rPr>
        <w:t>Resoluciones de referencia:</w:t>
      </w:r>
      <w:r>
        <w:rPr>
          <w:rFonts w:eastAsia="Arial" w:cs="Arial"/>
          <w:sz w:val="22"/>
          <w:szCs w:val="22"/>
        </w:rPr>
        <w:t xml:space="preserve"> 360 px, 768 px, 1366 px y 1920 px.</w:t>
      </w:r>
    </w:p>
    <w:p>
      <w:pPr>
        <w:pStyle w:val="ListParagraph"/>
        <w:numPr>
          <w:ilvl w:val="0"/>
          <w:numId w:val="1"/>
        </w:numPr>
        <w:spacing w:lineRule="exact" w:line="360" w:before="0" w:after="60"/>
        <w:jc w:val="both"/>
        <w:rPr/>
      </w:pPr>
      <w:r>
        <w:rPr>
          <w:rFonts w:eastAsia="Arial" w:cs="Arial"/>
          <w:b/>
          <w:bCs/>
          <w:sz w:val="22"/>
          <w:szCs w:val="22"/>
        </w:rPr>
        <w:t>Red:</w:t>
      </w:r>
      <w:r>
        <w:rPr>
          <w:rFonts w:eastAsia="Arial" w:cs="Arial"/>
          <w:sz w:val="22"/>
          <w:szCs w:val="22"/>
        </w:rPr>
        <w:t xml:space="preserve"> perfiles de conexión 4G y 3G simulados para NFR-PERF-2.</w:t>
      </w:r>
    </w:p>
    <w:p>
      <w:pPr>
        <w:pStyle w:val="Heading2"/>
        <w:rPr/>
      </w:pPr>
      <w:bookmarkStart w:id="34" w:name="__RefHeading___Toc3500_158910726"/>
      <w:bookmarkEnd w:id="34"/>
      <w:r>
        <w:rPr>
          <w:rFonts w:eastAsia="Arial" w:cs="Arial" w:ascii="Arial" w:hAnsi="Arial"/>
        </w:rPr>
        <w:t>7.3 Entornos de prueba</w:t>
      </w:r>
    </w:p>
    <w:tbl>
      <w:tblPr>
        <w:tblW w:w="9026" w:type="dxa"/>
        <w:jc w:val="left"/>
        <w:tblInd w:w="0" w:type="dxa"/>
        <w:tblLayout w:type="fixed"/>
        <w:tblCellMar>
          <w:top w:w="50" w:type="dxa"/>
          <w:left w:w="90" w:type="dxa"/>
          <w:bottom w:w="50" w:type="dxa"/>
          <w:right w:w="90" w:type="dxa"/>
        </w:tblCellMar>
      </w:tblPr>
      <w:tblGrid>
        <w:gridCol w:w="1556"/>
        <w:gridCol w:w="3735"/>
        <w:gridCol w:w="3735"/>
      </w:tblGrid>
      <w:tr>
        <w:trPr>
          <w:tblHeader w:val="true"/>
          <w:cantSplit w:val="true"/>
        </w:trPr>
        <w:tc>
          <w:tcPr>
            <w:tcW w:w="155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Entorno</w:t>
            </w:r>
          </w:p>
        </w:tc>
        <w:tc>
          <w:tcPr>
            <w:tcW w:w="3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Uso</w:t>
            </w:r>
          </w:p>
        </w:tc>
        <w:tc>
          <w:tcPr>
            <w:tcW w:w="3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Características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Desarrollo (DEV)</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componentes</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Local o contenedores Docker; datos sintéticos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continua (CI)</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automatizada, SAST y SCA</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 en cada push y pull request</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 Staging</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sistema, API, seguridad, rendimiento y usabilidad</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Réplica de producción con TLS, storage interno y BD cifrada; datos ficticios o anonimizados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UAT y prueba final de carga</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idéntica a producción</w:t>
            </w:r>
          </w:p>
        </w:tc>
      </w:tr>
    </w:tbl>
    <w:p>
      <w:pPr>
        <w:pStyle w:val="Normal"/>
        <w:spacing w:before="0" w:after="120"/>
        <w:rPr/>
      </w:pPr>
      <w:r>
        <w:rPr/>
      </w:r>
    </w:p>
    <w:p>
      <w:pPr>
        <w:pStyle w:val="Normal"/>
        <w:spacing w:lineRule="exact" w:line="360" w:before="0" w:after="120"/>
        <w:jc w:val="both"/>
        <w:rPr/>
      </w:pPr>
      <w:r>
        <w:rPr>
          <w:rFonts w:eastAsia="Arial" w:cs="Arial"/>
          <w:sz w:val="22"/>
          <w:szCs w:val="22"/>
        </w:rPr>
        <w:t>En ningún ambiente de prueba se usan datos personales reales. Así aplicamos el principio de minimización de la Ley 21.719 y evitamos que un ambiente con menos controles termine filtrando información.</w:t>
      </w:r>
    </w:p>
    <w:p>
      <w:pPr>
        <w:pStyle w:val="Heading1"/>
        <w:rPr/>
      </w:pPr>
      <w:bookmarkStart w:id="35" w:name="__RefHeading___Toc3502_158910726"/>
      <w:bookmarkEnd w:id="35"/>
      <w:r>
        <w:rPr>
          <w:rFonts w:eastAsia="Arial" w:cs="Arial" w:ascii="Arial" w:hAnsi="Arial"/>
        </w:rPr>
        <w:t>8. Cronograma de ejecución</w:t>
      </w:r>
    </w:p>
    <w:p>
      <w:pPr>
        <w:pStyle w:val="Normal"/>
        <w:spacing w:lineRule="exact" w:line="360" w:before="0" w:after="120"/>
        <w:jc w:val="both"/>
        <w:rPr/>
      </w:pPr>
      <w:r>
        <w:rPr>
          <w:rFonts w:eastAsia="Arial" w:cs="Arial"/>
          <w:sz w:val="22"/>
          <w:szCs w:val="22"/>
        </w:rPr>
        <w:t>Proponemos un cronograma de referencia de seis semanas, siguiendo las etapas de la sección 4.2.</w:t>
      </w:r>
    </w:p>
    <w:tbl>
      <w:tblPr>
        <w:tblW w:w="9026" w:type="dxa"/>
        <w:jc w:val="left"/>
        <w:tblInd w:w="0" w:type="dxa"/>
        <w:tblLayout w:type="fixed"/>
        <w:tblCellMar>
          <w:top w:w="50" w:type="dxa"/>
          <w:left w:w="90" w:type="dxa"/>
          <w:bottom w:w="50" w:type="dxa"/>
          <w:right w:w="90" w:type="dxa"/>
        </w:tblCellMar>
      </w:tblPr>
      <w:tblGrid>
        <w:gridCol w:w="1500"/>
        <w:gridCol w:w="1500"/>
        <w:gridCol w:w="2765"/>
        <w:gridCol w:w="1630"/>
        <w:gridCol w:w="1631"/>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Semana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Etapa</w:t>
            </w:r>
          </w:p>
        </w:tc>
        <w:tc>
          <w:tcPr>
            <w:tcW w:w="276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Actividades principales</w:t>
            </w:r>
          </w:p>
        </w:tc>
        <w:tc>
          <w:tcPr>
            <w:tcW w:w="163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Responsable</w:t>
            </w:r>
          </w:p>
        </w:tc>
        <w:tc>
          <w:tcPr>
            <w:tcW w:w="163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Planificación</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ERS, riesgos, aclaración de ambigüedades, aprobación del plan</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 PO</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Diseño y preparación</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de prueba, datos de prueba, matriz de trazabilidad, ambiente QA y pipeline</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Analistas QA, DevOps</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listo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funcional</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API, integración y sistema de RF-1 a RF-6; reglas de negocio</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Analistas QA, Automatización</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P1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no funcional</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y estrés, compatibilidad, accesibilidad y usabilidad con adultos mayores</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Automatización, UX</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rendimiento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SCA, DAST, pentest autorizado, verificación de cifrado y auditoría</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de seguridad</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UAT y cierre</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Reprueba de defectos, regresión completa, UAT e informe final</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 PO</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lineRule="exact" w:line="360" w:before="0" w:after="120"/>
        <w:jc w:val="both"/>
        <w:rPr/>
      </w:pPr>
      <w:r>
        <w:rPr>
          <w:rFonts w:eastAsia="Arial" w:cs="Arial"/>
          <w:sz w:val="22"/>
          <w:szCs w:val="22"/>
        </w:rPr>
        <w:t>Las pruebas automatizadas de regresión, SAST y SCA se ejecutan de manera continua desde la semana 2 hasta el cierre.</w:t>
      </w:r>
    </w:p>
    <w:p>
      <w:pPr>
        <w:pStyle w:val="Normal"/>
        <w:rPr/>
      </w:pPr>
      <w:r>
        <w:rPr/>
      </w:r>
      <w:r>
        <w:br w:type="page"/>
      </w:r>
    </w:p>
    <w:p>
      <w:pPr>
        <w:pStyle w:val="Heading1"/>
        <w:spacing w:before="0" w:after="180"/>
        <w:rPr/>
      </w:pPr>
      <w:bookmarkStart w:id="36" w:name="__RefHeading___Toc3504_158910726"/>
      <w:bookmarkEnd w:id="36"/>
      <w:r>
        <w:rPr>
          <w:rFonts w:eastAsia="Arial" w:cs="Arial" w:ascii="Arial" w:hAnsi="Arial"/>
        </w:rPr>
        <w:t>9. Diseño de casos de prueba</w:t>
      </w:r>
    </w:p>
    <w:p>
      <w:pPr>
        <w:pStyle w:val="Normal"/>
        <w:spacing w:lineRule="exact" w:line="360" w:before="0" w:after="120"/>
        <w:jc w:val="both"/>
        <w:rPr/>
      </w:pPr>
      <w:r>
        <w:rPr>
          <w:rFonts w:eastAsia="Arial" w:cs="Arial"/>
          <w:sz w:val="22"/>
          <w:szCs w:val="22"/>
        </w:rPr>
        <w:t>Diseñamos trece casos que cubren requerimientos funcionales, reglas de negocio y requerimientos no funcionales de seguridad, rendimiento, usabilidad, accesibilidad y compatibilidad. Los códigos de requerimiento son los de la ERS v1.1.</w:t>
      </w:r>
    </w:p>
    <w:p>
      <w:pPr>
        <w:pStyle w:val="Heading2"/>
        <w:rPr/>
      </w:pPr>
      <w:bookmarkStart w:id="37" w:name="__RefHeading___Toc3506_158910726"/>
      <w:bookmarkEnd w:id="37"/>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NFR-SEG-2, NFR-SEG-9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 /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se autentique con nombre de usuario y contraseña y reciba un JWT de corta vigencia y un refresh token.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registrado y asociado a una empresa; ambiente QA con TLS.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por HTTPS.</w:t>
            </w:r>
          </w:p>
          <w:p>
            <w:pPr>
              <w:pStyle w:val="Normal"/>
              <w:spacing w:lineRule="exact" w:line="276" w:before="20" w:after="20"/>
              <w:rPr/>
            </w:pPr>
            <w:r>
              <w:rPr>
                <w:rFonts w:eastAsia="Arial" w:cs="Arial"/>
                <w:sz w:val="18"/>
                <w:szCs w:val="18"/>
              </w:rPr>
              <w:t>2. Ingresar nombre de usuario y contraseña válidos.</w:t>
            </w:r>
          </w:p>
          <w:p>
            <w:pPr>
              <w:pStyle w:val="Normal"/>
              <w:spacing w:lineRule="exact" w:line="276" w:before="20" w:after="20"/>
              <w:rPr/>
            </w:pPr>
            <w:r>
              <w:rPr>
                <w:rFonts w:eastAsia="Arial" w:cs="Arial"/>
                <w:sz w:val="18"/>
                <w:szCs w:val="18"/>
              </w:rPr>
              <w:t>3. Presionar "Ingresar".</w:t>
            </w:r>
          </w:p>
          <w:p>
            <w:pPr>
              <w:pStyle w:val="Normal"/>
              <w:spacing w:lineRule="exact" w:line="276" w:before="20" w:after="20"/>
              <w:rPr/>
            </w:pPr>
            <w:r>
              <w:rPr>
                <w:rFonts w:eastAsia="Arial" w:cs="Arial"/>
                <w:sz w:val="18"/>
                <w:szCs w:val="18"/>
              </w:rPr>
              <w:t>4. Inspeccionar la respuesta de POST /api/auth/login.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HTTP 200; se entrega un access token JWT con expiración ≤ 15 minutos y un refresh token; el usuario es dirigido al dashboard de su empresa; la respuesta no contiene el hash de la contraseña.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válido y firmado; tiempo de respuesta &lt; 300 ms; login registrado en auditoría; la contraseña en BD corresponde a un hash bcrypt (prefijo $2b$, costo ≥ 10).</w:t>
            </w:r>
          </w:p>
        </w:tc>
      </w:tr>
    </w:tbl>
    <w:p>
      <w:pPr>
        <w:pStyle w:val="Normal"/>
        <w:spacing w:before="0" w:after="120"/>
        <w:rPr/>
      </w:pPr>
      <w:r>
        <w:rPr/>
      </w:r>
    </w:p>
    <w:p>
      <w:pPr>
        <w:pStyle w:val="Heading2"/>
        <w:rPr/>
      </w:pPr>
      <w:bookmarkStart w:id="38" w:name="__RefHeading___Toc3508_158910726"/>
      <w:bookmarkEnd w:id="38"/>
      <w:r>
        <w:rPr>
          <w:rFonts w:eastAsia="Arial" w:cs="Arial" w:ascii="Arial" w:hAnsi="Arial"/>
        </w:rPr>
        <w:t>CP-02 – Revocación del token al cerrar sesión</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Invalidación de sesión y revocación de token tras logout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Autenticación y sesión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tras cerrar sesión, ni el access token ni el refresh token puedan reutilizarse.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con CP-01; tokens copiados desde la herramienta de pruebas.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POST /api/auth/logout.</w:t>
            </w:r>
          </w:p>
          <w:p>
            <w:pPr>
              <w:pStyle w:val="Normal"/>
              <w:spacing w:lineRule="exact" w:line="276" w:before="20" w:after="20"/>
              <w:rPr/>
            </w:pPr>
            <w:r>
              <w:rPr>
                <w:rFonts w:eastAsia="Arial" w:cs="Arial"/>
                <w:sz w:val="18"/>
                <w:szCs w:val="18"/>
              </w:rPr>
              <w:t>2. Repetir GET /api/empresas/:id/clients con el access token anterior.</w:t>
            </w:r>
          </w:p>
          <w:p>
            <w:pPr>
              <w:pStyle w:val="Normal"/>
              <w:spacing w:lineRule="exact" w:line="276" w:before="20" w:after="20"/>
              <w:rPr/>
            </w:pPr>
            <w:r>
              <w:rPr>
                <w:rFonts w:eastAsia="Arial" w:cs="Arial"/>
                <w:sz w:val="18"/>
                <w:szCs w:val="18"/>
              </w:rPr>
              <w:t>3. Ejecutar POST /api/auth/refresh con el refresh token anterior.</w:t>
            </w:r>
          </w:p>
          <w:p>
            <w:pPr>
              <w:pStyle w:val="Normal"/>
              <w:spacing w:lineRule="exact" w:line="276" w:before="20" w:after="20"/>
              <w:rPr/>
            </w:pPr>
            <w:r>
              <w:rPr>
                <w:rFonts w:eastAsia="Arial" w:cs="Arial"/>
                <w:sz w:val="18"/>
                <w:szCs w:val="18"/>
              </w:rPr>
              <w:t>4. Enviar un JWT con la firma alterada.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Tokens obtenidos en CP-01; JWT modificado manualmente en Burp Suite.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2, 3 y 4 responden HTTP 401; el frontend redirige al login.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Ningún token revocado o manipulado concede acceso; el logout queda auditado; no se exponen detalles del motivo del rechazo.</w:t>
            </w:r>
          </w:p>
        </w:tc>
      </w:tr>
    </w:tbl>
    <w:p>
      <w:pPr>
        <w:pStyle w:val="Normal"/>
        <w:spacing w:before="0" w:after="120"/>
        <w:rPr/>
      </w:pPr>
      <w:r>
        <w:rPr/>
      </w:r>
    </w:p>
    <w:p>
      <w:pPr>
        <w:pStyle w:val="Heading2"/>
        <w:rPr/>
      </w:pPr>
      <w:bookmarkStart w:id="39" w:name="__RefHeading___Toc3510_158910726"/>
      <w:bookmarkEnd w:id="39"/>
      <w:r>
        <w:rPr>
          <w:rFonts w:eastAsia="Arial" w:cs="Arial" w:ascii="Arial" w:hAnsi="Arial"/>
        </w:rPr>
        <w:t>CP-03 – Registro de usuario y creación de empresa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 nuevo y creación de empresa con rol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 RF-2.2, RF-2.3, RB-1, restricción 2.4 (política de contraseñas)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 (end-to-end)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el flujo de registro, la política de contraseñas, la creación de empresa y la asignación automática del rol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de prueba no registrado; servicio de correo de QA disponible.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a Registro.</w:t>
            </w:r>
          </w:p>
          <w:p>
            <w:pPr>
              <w:pStyle w:val="Normal"/>
              <w:spacing w:lineRule="exact" w:line="276" w:before="20" w:after="20"/>
              <w:rPr/>
            </w:pPr>
            <w:r>
              <w:rPr>
                <w:rFonts w:eastAsia="Arial" w:cs="Arial"/>
                <w:sz w:val="18"/>
                <w:szCs w:val="18"/>
              </w:rPr>
              <w:t>2. Intentar registrar con contraseña débil.</w:t>
            </w:r>
          </w:p>
          <w:p>
            <w:pPr>
              <w:pStyle w:val="Normal"/>
              <w:spacing w:lineRule="exact" w:line="276" w:before="20" w:after="20"/>
              <w:rPr/>
            </w:pPr>
            <w:r>
              <w:rPr>
                <w:rFonts w:eastAsia="Arial" w:cs="Arial"/>
                <w:sz w:val="18"/>
                <w:szCs w:val="18"/>
              </w:rPr>
              <w:t>3. Registrar con contraseña válida.</w:t>
            </w:r>
          </w:p>
          <w:p>
            <w:pPr>
              <w:pStyle w:val="Normal"/>
              <w:spacing w:lineRule="exact" w:line="276" w:before="20" w:after="20"/>
              <w:rPr/>
            </w:pPr>
            <w:r>
              <w:rPr>
                <w:rFonts w:eastAsia="Arial" w:cs="Arial"/>
                <w:sz w:val="18"/>
                <w:szCs w:val="18"/>
              </w:rPr>
              <w:t>4. Confirmar el correo.</w:t>
            </w:r>
          </w:p>
          <w:p>
            <w:pPr>
              <w:pStyle w:val="Normal"/>
              <w:spacing w:lineRule="exact" w:line="276" w:before="20" w:after="20"/>
              <w:rPr/>
            </w:pPr>
            <w:r>
              <w:rPr>
                <w:rFonts w:eastAsia="Arial" w:cs="Arial"/>
                <w:sz w:val="18"/>
                <w:szCs w:val="18"/>
              </w:rPr>
              <w:t>5. Crear empresa con nombre, dirección, teléfono y correo.</w:t>
            </w:r>
          </w:p>
          <w:p>
            <w:pPr>
              <w:pStyle w:val="Normal"/>
              <w:spacing w:lineRule="exact" w:line="276" w:before="20" w:after="20"/>
              <w:rPr/>
            </w:pPr>
            <w:r>
              <w:rPr>
                <w:rFonts w:eastAsia="Arial" w:cs="Arial"/>
                <w:sz w:val="18"/>
                <w:szCs w:val="18"/>
              </w:rPr>
              <w:t>6. Revisar el rol asignado en Gestión de Usuarios.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 débil: atlas123; válida: Crea#Lab2026pyme; empresa: "Ferretería Los Andes SpA", correo contacto@losandes.test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paso 2 muestra un mensaje claro indicando el requisito incumplido; el registro válido crea el usuario y la empresa, y el usuario queda como administrador y es dirigido al dashboard.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menos de 12 caracteres o sin complejidad son rechazadas en frontend y backend; el primer usuario tiene rol administrador; un segundo registro con el mismo correo principal es rechazado (RB-1).</w:t>
            </w:r>
          </w:p>
        </w:tc>
      </w:tr>
    </w:tbl>
    <w:p>
      <w:pPr>
        <w:pStyle w:val="Normal"/>
        <w:spacing w:before="0" w:after="120"/>
        <w:rPr/>
      </w:pPr>
      <w:r>
        <w:rPr/>
      </w:r>
    </w:p>
    <w:p>
      <w:pPr>
        <w:pStyle w:val="Heading2"/>
        <w:rPr/>
      </w:pPr>
      <w:bookmarkStart w:id="40" w:name="__RefHeading___Toc3512_158910726"/>
      <w:bookmarkEnd w:id="40"/>
      <w:r>
        <w:rPr>
          <w:rFonts w:eastAsia="Arial" w:cs="Arial" w:ascii="Arial" w:hAnsi="Arial"/>
        </w:rPr>
        <w:t>CP-04 – Rol editor sin permisos de escritura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Restricción de escritura para el rol editor en interfaz y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 (autorización)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editor solo pueda visualizar, incluso si intenta operaciones de escritura directamente contra la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con rol editor en la empresa A; al menos un cliente y un contrato existentes.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Verificar que la interfaz no muestre botones de crear, editar ni eliminar.</w:t>
            </w:r>
          </w:p>
          <w:p>
            <w:pPr>
              <w:pStyle w:val="Normal"/>
              <w:spacing w:lineRule="exact" w:line="276" w:before="20" w:after="20"/>
              <w:rPr/>
            </w:pPr>
            <w:r>
              <w:rPr>
                <w:rFonts w:eastAsia="Arial" w:cs="Arial"/>
                <w:sz w:val="18"/>
                <w:szCs w:val="18"/>
              </w:rPr>
              <w:t>3. Con el token del editor, ejecutar POST /api/contratos.</w:t>
            </w:r>
          </w:p>
          <w:p>
            <w:pPr>
              <w:pStyle w:val="Normal"/>
              <w:spacing w:lineRule="exact" w:line="276" w:before="20" w:after="20"/>
              <w:rPr/>
            </w:pPr>
            <w:r>
              <w:rPr>
                <w:rFonts w:eastAsia="Arial" w:cs="Arial"/>
                <w:sz w:val="18"/>
                <w:szCs w:val="18"/>
              </w:rPr>
              <w:t>4. Ejecutar PUT y DELETE sobre un cliente existente.</w:t>
            </w:r>
          </w:p>
          <w:p>
            <w:pPr>
              <w:pStyle w:val="Normal"/>
              <w:spacing w:lineRule="exact" w:line="276" w:before="20" w:after="20"/>
              <w:rPr/>
            </w:pPr>
            <w:r>
              <w:rPr>
                <w:rFonts w:eastAsia="Arial" w:cs="Arial"/>
                <w:sz w:val="18"/>
                <w:szCs w:val="18"/>
              </w:rPr>
              <w:t>5. Intentar POST /api/contratos/:id/documentos.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del usuario editor.pyme01; cuerpo JSON de contrato válido.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pasos 3, 4 y 5 responden HTTP 403 y no modifican la base de datos; el intento queda registrado.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operaciones de escritura exitosas con rol editor; los datos permanecen íntegros; la verificación ocurre en backend y no depende de ocultar botones.</w:t>
            </w:r>
          </w:p>
        </w:tc>
      </w:tr>
    </w:tbl>
    <w:p>
      <w:pPr>
        <w:pStyle w:val="Normal"/>
        <w:spacing w:before="0" w:after="120"/>
        <w:rPr/>
      </w:pPr>
      <w:r>
        <w:rPr/>
      </w:r>
    </w:p>
    <w:p>
      <w:pPr>
        <w:pStyle w:val="Heading2"/>
        <w:rPr/>
      </w:pPr>
      <w:bookmarkStart w:id="41" w:name="__RefHeading___Toc3514_158910726"/>
      <w:bookmarkEnd w:id="41"/>
      <w:r>
        <w:rPr>
          <w:rFonts w:eastAsia="Arial" w:cs="Arial" w:ascii="Arial" w:hAnsi="Arial"/>
        </w:rPr>
        <w:t>CP-05 – Aislamiento de datos entre empresas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a clientes de otra empresa por manipulación de identificador (IDOR)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 / Cumplimiento normativo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la empresa A no pueda consultar ni modificar datos de la empresa B modificando identificadores en la URL o en el cuerpo de la petición.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usuario administrador solo vinculado a la empresa 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Ejecutar GET /api/empresas/{idB}/clients.</w:t>
            </w:r>
          </w:p>
          <w:p>
            <w:pPr>
              <w:pStyle w:val="Normal"/>
              <w:spacing w:lineRule="exact" w:line="276" w:before="20" w:after="20"/>
              <w:rPr/>
            </w:pPr>
            <w:r>
              <w:rPr>
                <w:rFonts w:eastAsia="Arial" w:cs="Arial"/>
                <w:sz w:val="18"/>
                <w:szCs w:val="18"/>
              </w:rPr>
              <w:t>3. Ejecutar GET /api/clientes/{idClienteB}.</w:t>
            </w:r>
          </w:p>
          <w:p>
            <w:pPr>
              <w:pStyle w:val="Normal"/>
              <w:spacing w:lineRule="exact" w:line="276" w:before="20" w:after="20"/>
              <w:rPr/>
            </w:pPr>
            <w:r>
              <w:rPr>
                <w:rFonts w:eastAsia="Arial" w:cs="Arial"/>
                <w:sz w:val="18"/>
                <w:szCs w:val="18"/>
              </w:rPr>
              <w:t>4. Ejecutar PUT sobre un contrato de B.</w:t>
            </w:r>
          </w:p>
          <w:p>
            <w:pPr>
              <w:pStyle w:val="Normal"/>
              <w:spacing w:lineRule="exact" w:line="276" w:before="20" w:after="20"/>
              <w:rPr/>
            </w:pPr>
            <w:r>
              <w:rPr>
                <w:rFonts w:eastAsia="Arial" w:cs="Arial"/>
                <w:sz w:val="18"/>
                <w:szCs w:val="18"/>
              </w:rPr>
              <w:t>5. Revisar el registro de auditoría.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idEmpresaA = 101, idEmpresaB = 102, idClienteB = 5530</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HTTP 403 o 404 sin revelar datos de B; se registra el intento de acceso no autorizado.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Ningún dato personal o bancario de B se expone; el comportamiento se repite con IDs secuenciales y aleatorios; evidencia archivada como respaldo de cumplimiento de la Ley 19.628 / 21.719.</w:t>
            </w:r>
          </w:p>
        </w:tc>
      </w:tr>
    </w:tbl>
    <w:p>
      <w:pPr>
        <w:pStyle w:val="Normal"/>
        <w:spacing w:before="0" w:after="120"/>
        <w:rPr/>
      </w:pPr>
      <w:r>
        <w:rPr/>
      </w:r>
    </w:p>
    <w:p>
      <w:pPr>
        <w:pStyle w:val="Heading2"/>
        <w:rPr/>
      </w:pPr>
      <w:bookmarkStart w:id="42" w:name="__RefHeading___Toc3516_158910726"/>
      <w:bookmarkEnd w:id="42"/>
      <w:r>
        <w:rPr>
          <w:rFonts w:eastAsia="Arial" w:cs="Arial" w:ascii="Arial" w:hAnsi="Arial"/>
        </w:rPr>
        <w:t>CP-06 – Creación, validación y eliminación lógica de cliente</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de cliente con validación de campos y eliminación lógica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NFR-USAB-3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la creación de clientes con datos correctos e incorrectos, el listado con paginación y filtros, y la eliminación lógica con confirmación.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un cliente con RUT inválido y teléfono con letras.</w:t>
            </w:r>
          </w:p>
          <w:p>
            <w:pPr>
              <w:pStyle w:val="Normal"/>
              <w:spacing w:lineRule="exact" w:line="276" w:before="20" w:after="20"/>
              <w:rPr/>
            </w:pPr>
            <w:r>
              <w:rPr>
                <w:rFonts w:eastAsia="Arial" w:cs="Arial"/>
                <w:sz w:val="18"/>
                <w:szCs w:val="18"/>
              </w:rPr>
              <w:t>3. Listar clientes y filtrar por nombre.</w:t>
            </w:r>
          </w:p>
          <w:p>
            <w:pPr>
              <w:pStyle w:val="Normal"/>
              <w:spacing w:lineRule="exact" w:line="276" w:before="20" w:after="20"/>
              <w:rPr/>
            </w:pPr>
            <w:r>
              <w:rPr>
                <w:rFonts w:eastAsia="Arial" w:cs="Arial"/>
                <w:sz w:val="18"/>
                <w:szCs w:val="18"/>
              </w:rPr>
              <w:t>4. Eliminar el cliente y cancelar en la confirmación.</w:t>
            </w:r>
          </w:p>
          <w:p>
            <w:pPr>
              <w:pStyle w:val="Normal"/>
              <w:spacing w:lineRule="exact" w:line="276" w:before="20" w:after="20"/>
              <w:rPr/>
            </w:pPr>
            <w:r>
              <w:rPr>
                <w:rFonts w:eastAsia="Arial" w:cs="Arial"/>
                <w:sz w:val="18"/>
                <w:szCs w:val="18"/>
              </w:rPr>
              <w:t>5. Eliminar nuevamente y confirmar.</w:t>
            </w:r>
          </w:p>
          <w:p>
            <w:pPr>
              <w:pStyle w:val="Normal"/>
              <w:spacing w:lineRule="exact" w:line="276" w:before="20" w:after="20"/>
              <w:rPr/>
            </w:pPr>
            <w:r>
              <w:rPr>
                <w:rFonts w:eastAsia="Arial" w:cs="Arial"/>
                <w:sz w:val="18"/>
                <w:szCs w:val="18"/>
              </w:rPr>
              <w:t>6. Consultar la base de datos.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fono +56 9 8765 4321. Inválido: RUT 12.345.678-X, fono "98ab76"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mensajes claros por campo; la cancelación no elimina; la confirmación oculta el cliente del listado sin borrarlo físicamente.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Validaciones activas también en la API (HTTP 422); registro con marca de eliminación (deleted_at o equivalente); acciones auditadas; paginación correcta.</w:t>
            </w:r>
          </w:p>
        </w:tc>
      </w:tr>
    </w:tbl>
    <w:p>
      <w:pPr>
        <w:pStyle w:val="Normal"/>
        <w:spacing w:before="0" w:after="120"/>
        <w:rPr/>
      </w:pPr>
      <w:r>
        <w:rPr/>
      </w:r>
    </w:p>
    <w:p>
      <w:pPr>
        <w:pStyle w:val="Heading2"/>
        <w:rPr/>
      </w:pPr>
      <w:bookmarkStart w:id="43" w:name="__RefHeading___Toc3518_158910726"/>
      <w:bookmarkEnd w:id="43"/>
      <w:r>
        <w:rPr>
          <w:rFonts w:eastAsia="Arial" w:cs="Arial" w:ascii="Arial" w:hAnsi="Arial"/>
        </w:rPr>
        <w:t>CP-07 – Cálculo del estado de un contrato</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activo, por vencer y expirado según fechas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Unitaria y sistema (partición de equivalencia y valores límite)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se calcule correctamente según su fecha de inicio y término, incluidos los valores límite.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existente; umbral "por vencer" definido en 30 días (supuesto de la sección 2.4); fecha del sistema controlada.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contratos con las combinaciones de fechas indicadas.</w:t>
            </w:r>
          </w:p>
          <w:p>
            <w:pPr>
              <w:pStyle w:val="Normal"/>
              <w:spacing w:lineRule="exact" w:line="276" w:before="20" w:after="20"/>
              <w:rPr/>
            </w:pPr>
            <w:r>
              <w:rPr>
                <w:rFonts w:eastAsia="Arial" w:cs="Arial"/>
                <w:sz w:val="18"/>
                <w:szCs w:val="18"/>
              </w:rPr>
              <w:t>2. Revisar el estado mostrado en la lista y en el detalle.</w:t>
            </w:r>
          </w:p>
          <w:p>
            <w:pPr>
              <w:pStyle w:val="Normal"/>
              <w:spacing w:lineRule="exact" w:line="276" w:before="20" w:after="20"/>
              <w:rPr/>
            </w:pPr>
            <w:r>
              <w:rPr>
                <w:rFonts w:eastAsia="Arial" w:cs="Arial"/>
                <w:sz w:val="18"/>
                <w:szCs w:val="18"/>
              </w:rPr>
              <w:t>3. Intentar asociar un mismo contrato a dos clientes.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Fecha de referencia: 16/09/2026. A: 01/01/2026–31/12/2026. B: 01/01/2026–16/10/2026 (30 días). C: 01/01/2026–15/09/2026. D: término anterior al inicio.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 activo; B = por vencer; C = expirado; D rechazado por validación; el paso 3 no se permite.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combinaciones con el estado correcto, incluidos los límites; no se permiten fechas incoherentes; un contrato tiene un solo cliente.</w:t>
            </w:r>
          </w:p>
        </w:tc>
      </w:tr>
    </w:tbl>
    <w:p>
      <w:pPr>
        <w:pStyle w:val="Normal"/>
        <w:spacing w:before="0" w:after="120"/>
        <w:rPr/>
      </w:pPr>
      <w:r>
        <w:rPr/>
      </w:r>
    </w:p>
    <w:p>
      <w:pPr>
        <w:pStyle w:val="Heading2"/>
        <w:rPr/>
      </w:pPr>
      <w:bookmarkStart w:id="44" w:name="__RefHeading___Toc3520_158910726"/>
      <w:bookmarkEnd w:id="44"/>
      <w:r>
        <w:rPr>
          <w:rFonts w:eastAsia="Arial" w:cs="Arial" w:ascii="Arial" w:hAnsi="Arial"/>
        </w:rPr>
        <w:t>CP-08 – Carga de documento, almacenamiento y auditoría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de documento en contrato con validación de formato, tiempo y registro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 RF-5.3, RF-6.1, NFR-SEG-5</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(frontend–API–storage–BD) y rendimiento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se adjunte un documento permitido, se almacene en storage interno referenciado en BD, se rechacen archivos no permitidos y se registre la acción.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existente sin documento; sesión de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Adjuntar un PDF de 5 MB y medir el tiempo.</w:t>
            </w:r>
          </w:p>
          <w:p>
            <w:pPr>
              <w:pStyle w:val="Normal"/>
              <w:spacing w:lineRule="exact" w:line="276" w:before="20" w:after="20"/>
              <w:rPr/>
            </w:pPr>
            <w:r>
              <w:rPr>
                <w:rFonts w:eastAsia="Arial" w:cs="Arial"/>
                <w:sz w:val="18"/>
                <w:szCs w:val="18"/>
              </w:rPr>
              <w:t>2. Descargar el documento y medir el tiempo.</w:t>
            </w:r>
          </w:p>
          <w:p>
            <w:pPr>
              <w:pStyle w:val="Normal"/>
              <w:spacing w:lineRule="exact" w:line="276" w:before="20" w:after="20"/>
              <w:rPr/>
            </w:pPr>
            <w:r>
              <w:rPr>
                <w:rFonts w:eastAsia="Arial" w:cs="Arial"/>
                <w:sz w:val="18"/>
                <w:szCs w:val="18"/>
              </w:rPr>
              <w:t>3. Intentar adjuntar un archivo .exe renombrado como .pdf.</w:t>
            </w:r>
          </w:p>
          <w:p>
            <w:pPr>
              <w:pStyle w:val="Normal"/>
              <w:spacing w:lineRule="exact" w:line="276" w:before="20" w:after="20"/>
              <w:rPr/>
            </w:pPr>
            <w:r>
              <w:rPr>
                <w:rFonts w:eastAsia="Arial" w:cs="Arial"/>
                <w:sz w:val="18"/>
                <w:szCs w:val="18"/>
              </w:rPr>
              <w:t>4. Intentar adjuntar un segundo documento al mismo contrato.</w:t>
            </w:r>
          </w:p>
          <w:p>
            <w:pPr>
              <w:pStyle w:val="Normal"/>
              <w:spacing w:lineRule="exact" w:line="276" w:before="20" w:after="20"/>
              <w:rPr/>
            </w:pPr>
            <w:r>
              <w:rPr>
                <w:rFonts w:eastAsia="Arial" w:cs="Arial"/>
                <w:sz w:val="18"/>
                <w:szCs w:val="18"/>
              </w:rPr>
              <w:t>5. Revisar la tabla de documentos y el registro de auditoría.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w:t>
            </w:r>
            <w:r>
              <w:rPr>
                <w:rFonts w:eastAsia="Arial" w:cs="Arial"/>
                <w:i/>
                <w:iCs/>
                <w:sz w:val="18"/>
                <w:szCs w:val="18"/>
              </w:rPr>
              <w:t>servicios.pdf (5 MB); malware</w:t>
            </w:r>
            <w:r>
              <w:rPr>
                <w:rFonts w:eastAsia="Arial" w:cs="Arial"/>
                <w:sz w:val="18"/>
                <w:szCs w:val="18"/>
              </w:rPr>
              <w:t>test.pdf (ejecutable renombrado, inofensivo); 2do_anexo.docx</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PDF se sube y descarga en ≤ 10 s; la BD guarda la ruta del archivo, no el binario; el archivo falso se rechaza por tipo real; el sistema aplica la regla de un documento por contrato; se registran subida y descarga.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Tiempos ≤ 10 s; validación por tipo MIME real; archivo accesible solo por usuarios autorizados; registros de auditoría con usuario, fecha y acción.</w:t>
            </w:r>
          </w:p>
        </w:tc>
      </w:tr>
    </w:tbl>
    <w:p>
      <w:pPr>
        <w:pStyle w:val="Normal"/>
        <w:spacing w:before="0" w:after="120"/>
        <w:rPr/>
      </w:pPr>
      <w:r>
        <w:rPr/>
      </w:r>
    </w:p>
    <w:p>
      <w:pPr>
        <w:pStyle w:val="Heading2"/>
        <w:rPr/>
      </w:pPr>
      <w:bookmarkStart w:id="45" w:name="__RefHeading___Toc3522_158910726"/>
      <w:bookmarkEnd w:id="45"/>
      <w:r>
        <w:rPr>
          <w:rFonts w:eastAsia="Arial" w:cs="Arial" w:ascii="Arial" w:hAnsi="Arial"/>
        </w:rPr>
        <w:t>CP-09 – Enlace compartido de documento</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del enlace para compartir documentos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 NFR-SEG-4, NFR-SEG-8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enlace generado sea impredecible, tenga vigencia y pueda revocarse.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con documento; sesión de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Generar enlace para compartir.</w:t>
            </w:r>
          </w:p>
          <w:p>
            <w:pPr>
              <w:pStyle w:val="Normal"/>
              <w:spacing w:lineRule="exact" w:line="276" w:before="20" w:after="20"/>
              <w:rPr/>
            </w:pPr>
            <w:r>
              <w:rPr>
                <w:rFonts w:eastAsia="Arial" w:cs="Arial"/>
                <w:sz w:val="18"/>
                <w:szCs w:val="18"/>
              </w:rPr>
              <w:t>2. Abrirlo en una ventana privada.</w:t>
            </w:r>
          </w:p>
          <w:p>
            <w:pPr>
              <w:pStyle w:val="Normal"/>
              <w:spacing w:lineRule="exact" w:line="276" w:before="20" w:after="20"/>
              <w:rPr/>
            </w:pPr>
            <w:r>
              <w:rPr>
                <w:rFonts w:eastAsia="Arial" w:cs="Arial"/>
                <w:sz w:val="18"/>
                <w:szCs w:val="18"/>
              </w:rPr>
              <w:t>3. Modificar un carácter del token del enlace.</w:t>
            </w:r>
          </w:p>
          <w:p>
            <w:pPr>
              <w:pStyle w:val="Normal"/>
              <w:spacing w:lineRule="exact" w:line="276" w:before="20" w:after="20"/>
              <w:rPr/>
            </w:pPr>
            <w:r>
              <w:rPr>
                <w:rFonts w:eastAsia="Arial" w:cs="Arial"/>
                <w:sz w:val="18"/>
                <w:szCs w:val="18"/>
              </w:rPr>
              <w:t>4. Revocar el enlace y volver a abrirlo.</w:t>
            </w:r>
          </w:p>
          <w:p>
            <w:pPr>
              <w:pStyle w:val="Normal"/>
              <w:spacing w:lineRule="exact" w:line="276" w:before="20" w:after="20"/>
              <w:rPr/>
            </w:pPr>
            <w:r>
              <w:rPr>
                <w:rFonts w:eastAsia="Arial" w:cs="Arial"/>
                <w:sz w:val="18"/>
                <w:szCs w:val="18"/>
              </w:rPr>
              <w:t>5. Esperar la expiración configurada y abrirlo.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Vigencia configurada de prueba: 5 minutos.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enlace válido permite solo la descarga del documento indicado; los pasos 3, 4 y 5 niegan el acceso; cada uso queda auditado.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de al menos 128 bits de entropía; sin acceso tras revocar o expirar; el enlace no permite navegar a otros documentos.</w:t>
            </w:r>
          </w:p>
        </w:tc>
      </w:tr>
    </w:tbl>
    <w:p>
      <w:pPr>
        <w:pStyle w:val="Normal"/>
        <w:spacing w:before="0" w:after="120"/>
        <w:rPr/>
      </w:pPr>
      <w:r>
        <w:rPr/>
      </w:r>
    </w:p>
    <w:p>
      <w:pPr>
        <w:pStyle w:val="Heading2"/>
        <w:rPr/>
      </w:pPr>
      <w:bookmarkStart w:id="46" w:name="__RefHeading___Toc3524_158910726"/>
      <w:bookmarkEnd w:id="46"/>
      <w:r>
        <w:rPr>
          <w:rFonts w:eastAsia="Arial" w:cs="Arial" w:ascii="Arial" w:hAnsi="Arial"/>
        </w:rPr>
        <w:t>CP-10 – Protección contra inyección SQL, XSS y CSRF</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CP-10</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y saneamiento de entradas frente a ataques comunes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 3.1.2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DAST y pentest manual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cargas maliciosas.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formal de pentest; ambiente QA aislado; OWASP ZAP y Burp Suite configurados.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carga SQLi en el login y en el filtro de clientes.</w:t>
            </w:r>
          </w:p>
          <w:p>
            <w:pPr>
              <w:pStyle w:val="Normal"/>
              <w:spacing w:lineRule="exact" w:line="276" w:before="20" w:after="20"/>
              <w:rPr/>
            </w:pPr>
            <w:r>
              <w:rPr>
                <w:rFonts w:eastAsia="Arial" w:cs="Arial"/>
                <w:sz w:val="18"/>
                <w:szCs w:val="18"/>
              </w:rPr>
              <w:t>2. Guardar un cliente con script en la descripción y abrir su detalle.</w:t>
            </w:r>
          </w:p>
          <w:p>
            <w:pPr>
              <w:pStyle w:val="Normal"/>
              <w:spacing w:lineRule="exact" w:line="276" w:before="20" w:after="20"/>
              <w:rPr/>
            </w:pPr>
            <w:r>
              <w:rPr>
                <w:rFonts w:eastAsia="Arial" w:cs="Arial"/>
                <w:sz w:val="18"/>
                <w:szCs w:val="18"/>
              </w:rPr>
              <w:t>3. Enviar una petición de modificación desde un origen externo sin token CSRF.</w:t>
            </w:r>
          </w:p>
          <w:p>
            <w:pPr>
              <w:pStyle w:val="Normal"/>
              <w:spacing w:lineRule="exact" w:line="276" w:before="20" w:after="20"/>
              <w:rPr/>
            </w:pPr>
            <w:r>
              <w:rPr>
                <w:rFonts w:eastAsia="Arial" w:cs="Arial"/>
                <w:sz w:val="18"/>
                <w:szCs w:val="18"/>
              </w:rPr>
              <w:t>4. Ejecutar escaneo activo con OWASP ZAP.</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&lt;script&gt;alert('xss')&lt;/script&gt;; &lt;img src=x onerror=alert(1)&gt;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hay acceso ni alteración de datos; el script se muestra como texto y no se ejecuta; la petición externa se rechaza; los errores no revelan información técnica.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vulnerabilidades críticas o altas en ZAP; consultas parametrizadas; cabeceras CSP y CORS restrictivas; resultado documentado en checklist OWASP ASVS.</w:t>
            </w:r>
          </w:p>
        </w:tc>
      </w:tr>
    </w:tbl>
    <w:p>
      <w:pPr>
        <w:pStyle w:val="Normal"/>
        <w:spacing w:before="0" w:after="120"/>
        <w:rPr/>
      </w:pPr>
      <w:r>
        <w:rPr/>
      </w:r>
    </w:p>
    <w:p>
      <w:pPr>
        <w:pStyle w:val="Heading2"/>
        <w:rPr/>
      </w:pPr>
      <w:bookmarkStart w:id="47" w:name="__RefHeading___Toc3526_158910726"/>
      <w:bookmarkEnd w:id="47"/>
      <w:r>
        <w:rPr>
          <w:rFonts w:eastAsia="Arial" w:cs="Arial" w:ascii="Arial" w:hAnsi="Arial"/>
        </w:rPr>
        <w:t>CP-11 – Carga con 200 usuarios concurrentes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carga sobre operaciones CRUD y página principal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Rendimiento (carga)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bajo la concurrencia definida en la ERS.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de preproducción equivalente a producción; 20.000 clientes y 50.000 contratos ficticios; script k6 validado.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Rampa de 0 a 200 usuarios virtuales en 5 minutos.</w:t>
            </w:r>
          </w:p>
          <w:p>
            <w:pPr>
              <w:pStyle w:val="Normal"/>
              <w:spacing w:lineRule="exact" w:line="276" w:before="20" w:after="20"/>
              <w:rPr/>
            </w:pPr>
            <w:r>
              <w:rPr>
                <w:rFonts w:eastAsia="Arial" w:cs="Arial"/>
                <w:sz w:val="18"/>
                <w:szCs w:val="18"/>
              </w:rPr>
              <w:t>2. Mantener 200 usuarios durante 20 minutos (login, listar, crear y editar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de BD.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distribución 60 % lectura / 40 % escritura.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en CRUD simples; carga de página &lt; 2 s; tasa de error &lt; 1 %; sin caídas del servicio.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Umbrales cumplidos en tres ejecuciones consecutivas; informe de k6 y Lighthouse adjunto como evidencia.</w:t>
            </w:r>
          </w:p>
        </w:tc>
      </w:tr>
    </w:tbl>
    <w:p>
      <w:pPr>
        <w:pStyle w:val="Normal"/>
        <w:spacing w:before="0" w:after="120"/>
        <w:rPr/>
      </w:pPr>
      <w:r>
        <w:rPr/>
      </w:r>
    </w:p>
    <w:p>
      <w:pPr>
        <w:pStyle w:val="Heading2"/>
        <w:rPr/>
      </w:pPr>
      <w:bookmarkStart w:id="48" w:name="__RefHeading___Toc3528_158910726"/>
      <w:bookmarkEnd w:id="48"/>
      <w:r>
        <w:rPr>
          <w:rFonts w:eastAsia="Arial" w:cs="Arial" w:ascii="Arial" w:hAnsi="Arial"/>
        </w:rPr>
        <w:t>CP-12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 evaluado por adultos mayores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 3.1.1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Usabilidad y accesibilidad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usuarios mayores completan tareas clave sin ayuda y si la interfaz cumple WCAG 2.1 AA.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informado; datos ficticios; guion de tareas; axe DevTools y NVDA instalados.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con un error intencional y corregirlo.</w:t>
            </w:r>
          </w:p>
          <w:p>
            <w:pPr>
              <w:pStyle w:val="Normal"/>
              <w:spacing w:lineRule="exact" w:line="276" w:before="20" w:after="20"/>
              <w:rPr/>
            </w:pPr>
            <w:r>
              <w:rPr>
                <w:rFonts w:eastAsia="Arial" w:cs="Arial"/>
                <w:sz w:val="18"/>
                <w:szCs w:val="18"/>
              </w:rPr>
              <w:t>3. Registrar tiempo, errores y solicitudes de ayuda.</w:t>
            </w:r>
          </w:p>
          <w:p>
            <w:pPr>
              <w:pStyle w:val="Normal"/>
              <w:spacing w:lineRule="exact" w:line="276" w:before="20" w:after="20"/>
              <w:rPr/>
            </w:pPr>
            <w:r>
              <w:rPr>
                <w:rFonts w:eastAsia="Arial" w:cs="Arial"/>
                <w:sz w:val="18"/>
                <w:szCs w:val="18"/>
              </w:rPr>
              <w:t>4. Aplicar cuestionario SUS.</w:t>
            </w:r>
          </w:p>
          <w:p>
            <w:pPr>
              <w:pStyle w:val="Normal"/>
              <w:spacing w:lineRule="exact" w:line="276" w:before="20" w:after="20"/>
              <w:rPr/>
            </w:pPr>
            <w:r>
              <w:rPr>
                <w:rFonts w:eastAsia="Arial" w:cs="Arial"/>
                <w:sz w:val="18"/>
                <w:szCs w:val="18"/>
              </w:rPr>
              <w:t>5. Auditar las pantallas con axe y navegar solo con teclado y NVDA.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cuestionario SUS de 10 ítems.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tareas se completan sin bloqueos; los mensajes de error se entienden; el flujo es cliente → contratos; los controles son operables por teclado.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xml:space="preserve">≥ </w:t>
            </w:r>
            <w:r>
              <w:rPr>
                <w:rFonts w:eastAsia="Arial" w:cs="Arial"/>
                <w:sz w:val="18"/>
                <w:szCs w:val="18"/>
              </w:rPr>
              <w:t>80 % de tareas completadas sin ayuda; SUS ≥ 70; 0 bloqueos mayores; contraste ≥ 4,5:1; objetivos táctiles ≥ 44 × 44 px; 0 errores críticos en axe.</w:t>
            </w:r>
          </w:p>
        </w:tc>
      </w:tr>
    </w:tbl>
    <w:p>
      <w:pPr>
        <w:pStyle w:val="Normal"/>
        <w:spacing w:before="0" w:after="120"/>
        <w:rPr/>
      </w:pPr>
      <w:r>
        <w:rPr/>
      </w:r>
    </w:p>
    <w:p>
      <w:pPr>
        <w:pStyle w:val="Heading2"/>
        <w:rPr/>
      </w:pPr>
      <w:bookmarkStart w:id="49" w:name="__RefHeading___Toc3530_158910726"/>
      <w:bookmarkEnd w:id="49"/>
      <w:r>
        <w:rPr>
          <w:rFonts w:eastAsia="Arial" w:cs="Arial" w:ascii="Arial" w:hAnsi="Arial"/>
        </w:rPr>
        <w:t>CP-13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Funcionamiento responsivo en navegadores y dispositivos soportados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Compatibilidad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login, gestión de clientes y visualización de documentos funcionen de forma consistente en la matriz definida.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Playwright de flujos esenciales; acceso a BrowserStack.</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la suite en Chrome, Firefox, Edge y WebKit (dos últimas versiones).</w:t>
            </w:r>
          </w:p>
          <w:p>
            <w:pPr>
              <w:pStyle w:val="Normal"/>
              <w:spacing w:lineRule="exact" w:line="276" w:before="20" w:after="20"/>
              <w:rPr/>
            </w:pPr>
            <w:r>
              <w:rPr>
                <w:rFonts w:eastAsia="Arial" w:cs="Arial"/>
                <w:sz w:val="18"/>
                <w:szCs w:val="18"/>
              </w:rPr>
              <w:t>2. Repetir en iPhone (Safari), tablet Android y iPad.</w:t>
            </w:r>
          </w:p>
          <w:p>
            <w:pPr>
              <w:pStyle w:val="Normal"/>
              <w:spacing w:lineRule="exact" w:line="276" w:before="20" w:after="20"/>
              <w:rPr/>
            </w:pPr>
            <w:r>
              <w:rPr>
                <w:rFonts w:eastAsia="Arial" w:cs="Arial"/>
                <w:sz w:val="18"/>
                <w:szCs w:val="18"/>
              </w:rPr>
              <w:t>3. Comparar capturas en 360 px, 768 px y 1366 px.</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4 navegadores × 2 versiones × 3 resoluciones.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completados en todas las combinaciones; sin elementos superpuestos ni scroll horizontal en móvil.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la matriz sin defectos bloqueantes o altos; diferencias visuales menores documentadas.</w:t>
            </w:r>
          </w:p>
        </w:tc>
      </w:tr>
    </w:tbl>
    <w:p>
      <w:pPr>
        <w:pStyle w:val="Normal"/>
        <w:spacing w:before="0" w:after="120"/>
        <w:rPr/>
      </w:pPr>
      <w:r>
        <w:rPr/>
      </w:r>
    </w:p>
    <w:p>
      <w:pPr>
        <w:pStyle w:val="Normal"/>
        <w:rPr/>
      </w:pPr>
      <w:r>
        <w:rPr/>
      </w:r>
      <w:r>
        <w:br w:type="page"/>
      </w:r>
    </w:p>
    <w:p>
      <w:pPr>
        <w:pStyle w:val="Heading1"/>
        <w:spacing w:before="0" w:after="180"/>
        <w:rPr/>
      </w:pPr>
      <w:bookmarkStart w:id="50" w:name="__RefHeading___Toc3532_158910726"/>
      <w:bookmarkEnd w:id="50"/>
      <w:r>
        <w:rPr>
          <w:rFonts w:eastAsia="Arial" w:cs="Arial" w:ascii="Arial" w:hAnsi="Arial"/>
        </w:rPr>
        <w:t>10. Matriz de trazabilidad</w:t>
      </w:r>
    </w:p>
    <w:p>
      <w:pPr>
        <w:pStyle w:val="Normal"/>
        <w:spacing w:lineRule="exact" w:line="360" w:before="0" w:after="120"/>
        <w:jc w:val="both"/>
        <w:rPr/>
      </w:pPr>
      <w:r>
        <w:rPr>
          <w:rFonts w:eastAsia="Arial" w:cs="Arial"/>
          <w:sz w:val="22"/>
          <w:szCs w:val="22"/>
        </w:rPr>
        <w:t>La matriz vincula cada requerimiento de la ERS con los casos que lo verifican, el tipo de prueba y la norma o estándar relacionado. Los requerimientos que todavía no tienen caso detallado se cubren con la suite indicada y quedan anotados para la iteración 2.</w:t>
      </w:r>
    </w:p>
    <w:p>
      <w:pPr>
        <w:pStyle w:val="Heading2"/>
        <w:rPr/>
      </w:pPr>
      <w:bookmarkStart w:id="51" w:name="__RefHeading___Toc3534_158910726"/>
      <w:bookmarkEnd w:id="51"/>
      <w:r>
        <w:rPr>
          <w:rFonts w:eastAsia="Arial" w:cs="Arial" w:ascii="Arial" w:hAnsi="Arial"/>
        </w:rPr>
        <w:t>10.1 Requerimientos funcionales y reglas de negocio</w:t>
      </w:r>
    </w:p>
    <w:tbl>
      <w:tblPr>
        <w:tblW w:w="9026" w:type="dxa"/>
        <w:jc w:val="left"/>
        <w:tblInd w:w="0" w:type="dxa"/>
        <w:tblLayout w:type="fixed"/>
        <w:tblCellMar>
          <w:top w:w="50" w:type="dxa"/>
          <w:left w:w="90" w:type="dxa"/>
          <w:bottom w:w="50" w:type="dxa"/>
          <w:right w:w="90" w:type="dxa"/>
        </w:tblCellMar>
      </w:tblPr>
      <w:tblGrid>
        <w:gridCol w:w="1500"/>
        <w:gridCol w:w="2176"/>
        <w:gridCol w:w="2123"/>
        <w:gridCol w:w="1500"/>
        <w:gridCol w:w="1727"/>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w:t>
            </w:r>
          </w:p>
        </w:tc>
        <w:tc>
          <w:tcPr>
            <w:tcW w:w="217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Descripción breve</w:t>
            </w:r>
          </w:p>
        </w:tc>
        <w:tc>
          <w:tcPr>
            <w:tcW w:w="212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 de prueba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172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Control normativo /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API</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ISO/IEC 27001 A.8.5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Cierre de sesión y revocación de tokens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ASVS V3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rápido de usuario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(licitud y finalidad)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empresa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(adecuación funcional)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Principio de 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Invitar o crear usuarios y asignar rol</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regresión API (iteración 2: CP-14)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API</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A.5.18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(autorización)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Modificar o eliminar usuarios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regresión API (iteración 2: CP-15)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A.5.18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Editar, eliminar y listar con filtros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(supresión, trazabilidad)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contratos por cliente</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 en formatos permitidos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 (diseño inseguro)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Storage interno referenciado en BD</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(corrección)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para compartir documento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CP-04, CP-05, CP-06, CP-08,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 (responsabilidad proactiva)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principal único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asociado a un solo cliente</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referencial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con permisos de lectura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RB-5</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Administrador con acceso completo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 CP-06, 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Mínimo privilegio</w:t>
            </w:r>
          </w:p>
        </w:tc>
      </w:tr>
    </w:tbl>
    <w:p>
      <w:pPr>
        <w:pStyle w:val="Normal"/>
        <w:spacing w:before="0" w:after="120"/>
        <w:rPr/>
      </w:pPr>
      <w:r>
        <w:rPr/>
      </w:r>
    </w:p>
    <w:p>
      <w:pPr>
        <w:pStyle w:val="Heading2"/>
        <w:rPr/>
      </w:pPr>
      <w:bookmarkStart w:id="52" w:name="__RefHeading___Toc3536_158910726"/>
      <w:bookmarkEnd w:id="52"/>
      <w:r>
        <w:rPr>
          <w:rFonts w:eastAsia="Arial" w:cs="Arial" w:ascii="Arial" w:hAnsi="Arial"/>
        </w:rPr>
        <w:t>10.2 Requerimientos no funcionales</w:t>
      </w:r>
    </w:p>
    <w:tbl>
      <w:tblPr>
        <w:tblW w:w="9026" w:type="dxa"/>
        <w:jc w:val="left"/>
        <w:tblInd w:w="0" w:type="dxa"/>
        <w:tblLayout w:type="fixed"/>
        <w:tblCellMar>
          <w:top w:w="50" w:type="dxa"/>
          <w:left w:w="90" w:type="dxa"/>
          <w:bottom w:w="50" w:type="dxa"/>
          <w:right w:w="90" w:type="dxa"/>
        </w:tblCellMar>
      </w:tblPr>
      <w:tblGrid>
        <w:gridCol w:w="1500"/>
        <w:gridCol w:w="2228"/>
        <w:gridCol w:w="1895"/>
        <w:gridCol w:w="1500"/>
        <w:gridCol w:w="1903"/>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w:t>
            </w:r>
          </w:p>
        </w:tc>
        <w:tc>
          <w:tcPr>
            <w:tcW w:w="222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Descripción breve</w:t>
            </w:r>
          </w:p>
        </w:tc>
        <w:tc>
          <w:tcPr>
            <w:tcW w:w="189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 de prueba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190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Control normativo /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(precondición), verificación SSL Labs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criptográfica</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Hash bcrypt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BD en QA (iteración 2: CP-16)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 por rol en backend</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CP-05,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CSRF, XSS, SQLi</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(DAST, pentest)</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 ASVS V5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NFR-SEG-6</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logs segura</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 y revisión de logs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ISO/IEC 27001 A.8.15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 en QA (iteración 2: CP-17)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A.8.13; Ley 21.663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de protección de datos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mediante JWT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&lt; 300 ms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(eficiencia)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&lt; 2 s en móvil</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accesibilidad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claros de registro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 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(usabilidad)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contextual y errores amigables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 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3.3 (asistencia en la entrada)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NFR-USAB-4</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99,5 %</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 y monitoreo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(disponibilidad)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Mantenimiento y migración segura</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migración (iteración 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A.8.32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Responsivo móvil y tablet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(portabilidad)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de interfaz</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 REST validada con Swagger</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CP-02, CP-04,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OpenAPI; OWASP API Security Top 10</w:t>
            </w:r>
          </w:p>
        </w:tc>
      </w:tr>
    </w:tbl>
    <w:p>
      <w:pPr>
        <w:pStyle w:val="Normal"/>
        <w:spacing w:before="0" w:after="120"/>
        <w:rPr/>
      </w:pPr>
      <w:r>
        <w:rPr/>
      </w:r>
    </w:p>
    <w:p>
      <w:pPr>
        <w:pStyle w:val="Normal"/>
        <w:rPr/>
      </w:pPr>
      <w:r>
        <w:rPr/>
      </w:r>
      <w:r>
        <w:br w:type="page"/>
      </w:r>
    </w:p>
    <w:p>
      <w:pPr>
        <w:pStyle w:val="Heading1"/>
        <w:spacing w:before="0" w:after="180"/>
        <w:rPr/>
      </w:pPr>
      <w:bookmarkStart w:id="53" w:name="__RefHeading___Toc3538_158910726"/>
      <w:bookmarkEnd w:id="53"/>
      <w:r>
        <w:rPr>
          <w:rFonts w:eastAsia="Arial" w:cs="Arial" w:ascii="Arial" w:hAnsi="Arial"/>
        </w:rPr>
        <w:t>11. Análisis de cobertura y coherencia del plan</w:t>
      </w:r>
    </w:p>
    <w:p>
      <w:pPr>
        <w:pStyle w:val="Heading2"/>
        <w:rPr/>
      </w:pPr>
      <w:bookmarkStart w:id="54" w:name="__RefHeading___Toc3540_158910726"/>
      <w:bookmarkEnd w:id="54"/>
      <w:r>
        <w:rPr>
          <w:rFonts w:eastAsia="Arial" w:cs="Arial" w:ascii="Arial" w:hAnsi="Arial"/>
        </w:rPr>
        <w:t>11.1 Cobertura cuantitativa</w:t>
      </w:r>
    </w:p>
    <w:tbl>
      <w:tblPr>
        <w:tblW w:w="9026" w:type="dxa"/>
        <w:jc w:val="left"/>
        <w:tblInd w:w="0" w:type="dxa"/>
        <w:tblLayout w:type="fixed"/>
        <w:tblCellMar>
          <w:top w:w="50" w:type="dxa"/>
          <w:left w:w="90" w:type="dxa"/>
          <w:bottom w:w="50" w:type="dxa"/>
          <w:right w:w="90" w:type="dxa"/>
        </w:tblCellMar>
      </w:tblPr>
      <w:tblGrid>
        <w:gridCol w:w="1873"/>
        <w:gridCol w:w="1500"/>
        <w:gridCol w:w="1945"/>
        <w:gridCol w:w="2207"/>
        <w:gridCol w:w="1501"/>
      </w:tblGrid>
      <w:tr>
        <w:trPr>
          <w:tblHeader w:val="true"/>
          <w:cantSplit w:val="true"/>
        </w:trPr>
        <w:tc>
          <w:tcPr>
            <w:tcW w:w="187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Grupo de requerimientos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Total en ERS</w:t>
            </w:r>
          </w:p>
        </w:tc>
        <w:tc>
          <w:tcPr>
            <w:tcW w:w="194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 caso de prueba detallado</w:t>
            </w:r>
          </w:p>
        </w:tc>
        <w:tc>
          <w:tcPr>
            <w:tcW w:w="220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Cubiertos por suite o actividad planificada</w:t>
            </w:r>
          </w:p>
        </w:tc>
        <w:tc>
          <w:tcPr>
            <w:tcW w:w="150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Cobertura total</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15</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(RF-3.1, RF-3.3)</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 (RB)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(NFR-SEG-3, NFR-SEG-7)</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(NFR-PERF)</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(NFR-DIS)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(NFR-DIS-2)</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Total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42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37 (88 %)</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5 (12 %)</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100 %</w:t>
            </w:r>
          </w:p>
        </w:tc>
      </w:tr>
    </w:tbl>
    <w:p>
      <w:pPr>
        <w:pStyle w:val="Normal"/>
        <w:spacing w:before="0" w:after="120"/>
        <w:rPr/>
      </w:pPr>
      <w:r>
        <w:rPr/>
      </w:r>
    </w:p>
    <w:p>
      <w:pPr>
        <w:pStyle w:val="Normal"/>
        <w:spacing w:lineRule="exact" w:line="360" w:before="0" w:after="120"/>
        <w:jc w:val="both"/>
        <w:rPr/>
      </w:pPr>
      <w:r>
        <w:rPr>
          <w:rFonts w:eastAsia="Arial" w:cs="Arial"/>
          <w:sz w:val="22"/>
          <w:szCs w:val="22"/>
        </w:rPr>
        <w:t>Todos los requerimientos de la ERS quedan trazados. El 88 % ya tiene un caso documentado; el resto se cubre con suites de regresión o actividades puntuales que detallaremos como casos en la iteración 2.</w:t>
      </w:r>
    </w:p>
    <w:p>
      <w:pPr>
        <w:pStyle w:val="Heading2"/>
        <w:rPr/>
      </w:pPr>
      <w:bookmarkStart w:id="55" w:name="__RefHeading___Toc3542_158910726"/>
      <w:bookmarkEnd w:id="55"/>
      <w:r>
        <w:rPr>
          <w:rFonts w:eastAsia="Arial" w:cs="Arial" w:ascii="Arial" w:hAnsi="Arial"/>
        </w:rPr>
        <w:t>11.2 Distribución por tipo de prueba</w:t>
      </w:r>
    </w:p>
    <w:tbl>
      <w:tblPr>
        <w:tblW w:w="9026" w:type="dxa"/>
        <w:jc w:val="left"/>
        <w:tblInd w:w="0" w:type="dxa"/>
        <w:tblLayout w:type="fixed"/>
        <w:tblCellMar>
          <w:top w:w="50" w:type="dxa"/>
          <w:left w:w="90" w:type="dxa"/>
          <w:bottom w:w="50" w:type="dxa"/>
          <w:right w:w="90" w:type="dxa"/>
        </w:tblCellMar>
      </w:tblPr>
      <w:tblGrid>
        <w:gridCol w:w="4793"/>
        <w:gridCol w:w="2732"/>
        <w:gridCol w:w="1501"/>
      </w:tblGrid>
      <w:tr>
        <w:trPr>
          <w:tblHeader w:val="true"/>
          <w:cantSplit w:val="true"/>
        </w:trPr>
        <w:tc>
          <w:tcPr>
            <w:tcW w:w="479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73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w:t>
            </w:r>
          </w:p>
        </w:tc>
        <w:tc>
          <w:tcPr>
            <w:tcW w:w="150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Porcentaje</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integración, sistema, API)</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CP-03, CP-06, CP-07, CP-08</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38 %</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 CP-04, CP-05, CP-09, CP-10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38 %</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 usabilidad, accesibilidad, compatibilidad)</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 CP-12, CP-13</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23 %</w:t>
            </w:r>
          </w:p>
        </w:tc>
      </w:tr>
    </w:tbl>
    <w:p>
      <w:pPr>
        <w:pStyle w:val="Normal"/>
        <w:spacing w:before="0" w:after="120"/>
        <w:rPr/>
      </w:pPr>
      <w:r>
        <w:rPr/>
      </w:r>
    </w:p>
    <w:p>
      <w:pPr>
        <w:pStyle w:val="Normal"/>
        <w:spacing w:lineRule="exact" w:line="360" w:before="0" w:after="120"/>
        <w:jc w:val="both"/>
        <w:rPr/>
      </w:pPr>
      <w:r>
        <w:rPr>
          <w:rFonts w:eastAsia="Arial" w:cs="Arial"/>
          <w:sz w:val="22"/>
          <w:szCs w:val="22"/>
        </w:rPr>
        <w:t>Las pruebas de seguridad tienen más peso a propósito: cada riesgo P1 de la sección 4.3 tiene al menos un caso asociado, y todos involucran datos personales o bancarios.</w:t>
      </w:r>
    </w:p>
    <w:p>
      <w:pPr>
        <w:pStyle w:val="Heading2"/>
        <w:rPr/>
      </w:pPr>
      <w:bookmarkStart w:id="56" w:name="__RefHeading___Toc3544_158910726"/>
      <w:bookmarkEnd w:id="56"/>
      <w:r>
        <w:rPr>
          <w:rFonts w:eastAsia="Arial" w:cs="Arial" w:ascii="Arial" w:hAnsi="Arial"/>
        </w:rPr>
        <w:t>11.3 Coherencia con los objetivos y estándares</w:t>
      </w:r>
    </w:p>
    <w:p>
      <w:pPr>
        <w:pStyle w:val="ListParagraph"/>
        <w:numPr>
          <w:ilvl w:val="0"/>
          <w:numId w:val="1"/>
        </w:numPr>
        <w:spacing w:lineRule="exact" w:line="360" w:before="0" w:after="60"/>
        <w:jc w:val="both"/>
        <w:rPr/>
      </w:pPr>
      <w:r>
        <w:rPr>
          <w:rFonts w:eastAsia="Arial" w:cs="Arial"/>
          <w:b/>
          <w:bCs/>
          <w:sz w:val="22"/>
          <w:szCs w:val="22"/>
        </w:rPr>
        <w:t>Con los objetivos del proyecto:</w:t>
      </w:r>
      <w:r>
        <w:rPr>
          <w:rFonts w:eastAsia="Arial" w:cs="Arial"/>
          <w:sz w:val="22"/>
          <w:szCs w:val="22"/>
        </w:rPr>
        <w:t xml:space="preserve"> cada objetivo del plan (sección 1.3) tiene casos asociados. El aislamiento entre empresas se verifica en CP-04 y CP-05; la protección de datos en CP-02, CP-09 y CP-10; el rendimiento en CP-11 y la experiencia de adultos mayores en CP-12.</w:t>
      </w:r>
    </w:p>
    <w:p>
      <w:pPr>
        <w:pStyle w:val="ListParagraph"/>
        <w:numPr>
          <w:ilvl w:val="0"/>
          <w:numId w:val="1"/>
        </w:numPr>
        <w:spacing w:lineRule="exact" w:line="360" w:before="0" w:after="60"/>
        <w:jc w:val="both"/>
        <w:rPr/>
      </w:pPr>
      <w:r>
        <w:rPr>
          <w:rFonts w:eastAsia="Arial" w:cs="Arial"/>
          <w:b/>
          <w:bCs/>
          <w:sz w:val="22"/>
          <w:szCs w:val="22"/>
        </w:rPr>
        <w:t>Con ISO/IEC 25010:</w:t>
      </w:r>
      <w:r>
        <w:rPr>
          <w:rFonts w:eastAsia="Arial" w:cs="Arial"/>
          <w:sz w:val="22"/>
          <w:szCs w:val="22"/>
        </w:rPr>
        <w:t xml:space="preserve"> las ocho características de calidad tienen al menos un criterio y una forma de medición (sección 2.1). Mantenibilidad y portabilidad tienen menor profundidad porque la ERS no define métricas explícitas para ellas.</w:t>
      </w:r>
    </w:p>
    <w:p>
      <w:pPr>
        <w:pStyle w:val="ListParagraph"/>
        <w:numPr>
          <w:ilvl w:val="0"/>
          <w:numId w:val="1"/>
        </w:numPr>
        <w:spacing w:lineRule="exact" w:line="360" w:before="0" w:after="60"/>
        <w:jc w:val="both"/>
        <w:rPr/>
      </w:pPr>
      <w:r>
        <w:rPr>
          <w:rFonts w:eastAsia="Arial" w:cs="Arial"/>
          <w:b/>
          <w:bCs/>
          <w:sz w:val="22"/>
          <w:szCs w:val="22"/>
        </w:rPr>
        <w:t>Con OWASP Top 10:</w:t>
      </w:r>
      <w:r>
        <w:rPr>
          <w:rFonts w:eastAsia="Arial" w:cs="Arial"/>
          <w:sz w:val="22"/>
          <w:szCs w:val="22"/>
        </w:rPr>
        <w:t xml:space="preserve"> se cubren A01, A02, A03, A05, A06, A07 y A09. A08 (integridad de software y datos) y A10 (SSRF) quedan cubiertas solo por el análisis automatizado, ya que la ERS no describe funciones que descarguen recursos externos.</w:t>
      </w:r>
    </w:p>
    <w:p>
      <w:pPr>
        <w:pStyle w:val="ListParagraph"/>
        <w:numPr>
          <w:ilvl w:val="0"/>
          <w:numId w:val="1"/>
        </w:numPr>
        <w:spacing w:lineRule="exact" w:line="360" w:before="0" w:after="60"/>
        <w:jc w:val="both"/>
        <w:rPr/>
      </w:pPr>
      <w:r>
        <w:rPr>
          <w:rFonts w:eastAsia="Arial" w:cs="Arial"/>
          <w:b/>
          <w:bCs/>
          <w:sz w:val="22"/>
          <w:szCs w:val="22"/>
        </w:rPr>
        <w:t>Con el marco legal chileno:</w:t>
      </w:r>
      <w:r>
        <w:rPr>
          <w:rFonts w:eastAsia="Arial" w:cs="Arial"/>
          <w:sz w:val="22"/>
          <w:szCs w:val="22"/>
        </w:rPr>
        <w:t xml:space="preserve"> las evidencias de CP-05, CP-09 y los registros de auditoría permiten demostrar medidas de seguridad y control de acceso, que es lo que exige la responsabilidad proactiva de la Ley 21.719. El uso exclusivo de datos ficticios en ambientes de prueba aplica el principio de minimización.</w:t>
      </w:r>
    </w:p>
    <w:p>
      <w:pPr>
        <w:pStyle w:val="Heading2"/>
        <w:rPr/>
      </w:pPr>
      <w:bookmarkStart w:id="57" w:name="__RefHeading___Toc3546_158910726"/>
      <w:bookmarkEnd w:id="57"/>
      <w:r>
        <w:rPr>
          <w:rFonts w:eastAsia="Arial" w:cs="Arial" w:ascii="Arial" w:hAnsi="Arial"/>
        </w:rPr>
        <w:t>11.4 Brechas identificadas y acciones</w:t>
      </w:r>
    </w:p>
    <w:tbl>
      <w:tblPr>
        <w:tblW w:w="9026" w:type="dxa"/>
        <w:jc w:val="left"/>
        <w:tblInd w:w="0" w:type="dxa"/>
        <w:tblLayout w:type="fixed"/>
        <w:tblCellMar>
          <w:top w:w="50" w:type="dxa"/>
          <w:left w:w="90" w:type="dxa"/>
          <w:bottom w:w="50" w:type="dxa"/>
          <w:right w:w="90" w:type="dxa"/>
        </w:tblCellMar>
      </w:tblPr>
      <w:tblGrid>
        <w:gridCol w:w="3042"/>
        <w:gridCol w:w="2942"/>
        <w:gridCol w:w="3042"/>
      </w:tblGrid>
      <w:tr>
        <w:trPr>
          <w:tblHeader w:val="true"/>
          <w:cantSplit w:val="true"/>
        </w:trPr>
        <w:tc>
          <w:tcPr>
            <w:tcW w:w="30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Brecha</w:t>
            </w:r>
          </w:p>
        </w:tc>
        <w:tc>
          <w:tcPr>
            <w:tcW w:w="29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Impacto</w:t>
            </w:r>
          </w:p>
        </w:tc>
        <w:tc>
          <w:tcPr>
            <w:tcW w:w="30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Acción propuesta</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ERS no define tamaño máximo de archivo ni umbral de "vence"</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Criterios de aceptación ambiguos en CP-07 y CP-08</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supuestos (10 MB y 30 días) con el Product Owner</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Fuente de 12 px en la ERS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Riesgo de incumplir NFR-USAB-1 y WCAG para adultos mayores</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Proponer cambio a 16 px antes del diseño final</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Contradicción entre RF-4.1 y RB-4 sobre quién crea clientes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Posibles defectos de autorización</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Aclaración formal; CP-04 prueba la interpretación restrictiva</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requerimientos de consentimiento, derechos del titular ni reporte de brechas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Riesgo de incumplimiento de la Ley 21.719</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Recomendar nuevos requerimientos y casos para la iteración 2</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métrica para disponibilidad en ambiente de prueba</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solo verificable en operación</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Monitoreo con alertas desde preproducción</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pendientes de detalle (RF-3.1, RF-3.3, NFR-SEG-3, NFR-SEG-7, NFR-DIS-2)</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Cobertura documental parcial</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Redactar CP-14 a CP-18 en la iteración 2</w:t>
            </w:r>
          </w:p>
        </w:tc>
      </w:tr>
    </w:tbl>
    <w:p>
      <w:pPr>
        <w:pStyle w:val="Normal"/>
        <w:spacing w:before="0" w:after="120"/>
        <w:rPr/>
      </w:pPr>
      <w:r>
        <w:rPr/>
      </w:r>
    </w:p>
    <w:p>
      <w:pPr>
        <w:pStyle w:val="Heading2"/>
        <w:rPr/>
      </w:pPr>
      <w:bookmarkStart w:id="58" w:name="__RefHeading___Toc3548_158910726"/>
      <w:bookmarkEnd w:id="58"/>
      <w:r>
        <w:rPr>
          <w:rFonts w:eastAsia="Arial" w:cs="Arial" w:ascii="Arial" w:hAnsi="Arial"/>
        </w:rPr>
        <w:t>11.5 Conclusión</w:t>
      </w:r>
    </w:p>
    <w:p>
      <w:pPr>
        <w:pStyle w:val="Normal"/>
        <w:spacing w:lineRule="exact" w:line="360" w:before="0" w:after="120"/>
        <w:jc w:val="both"/>
        <w:rPr/>
      </w:pPr>
      <w:r>
        <w:rPr>
          <w:rFonts w:eastAsia="Arial" w:cs="Arial"/>
          <w:sz w:val="22"/>
          <w:szCs w:val="22"/>
        </w:rPr>
        <w:t>Atlas es un sistema multiempresa que maneja datos personales y bancarios de terceros, y el plan responde a eso. La estrategia basada en riesgo pone el mayor esfuerzo en control de acceso y protección de datos, sin dejar de lado el rendimiento ni la usabilidad para adultos mayores, que la ERS marca como prioritarios.</w:t>
      </w:r>
    </w:p>
    <w:p>
      <w:pPr>
        <w:pStyle w:val="Normal"/>
        <w:spacing w:lineRule="exact" w:line="360" w:before="0" w:after="120"/>
        <w:jc w:val="both"/>
        <w:rPr/>
      </w:pPr>
      <w:r>
        <w:rPr>
          <w:rFonts w:eastAsia="Arial" w:cs="Arial"/>
          <w:sz w:val="22"/>
          <w:szCs w:val="22"/>
        </w:rPr>
        <w:t>La trazabilidad entre requerimientos, casos y normas sirve para detectar defectos y, al mismo tiempo, para reunir evidencia de cumplimiento frente a la Ley 19.628, la Ley 21.719 y los estándares ISO/IEC y OWASP. Las brechas que encontramos en la ERS quedan documentadas para la siguiente iteración del caso semestral.</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666666"/>
        <w:sz w:val="16"/>
        <w:szCs w:val="16"/>
      </w:rPr>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lineRule="exact" w:line="360" w:before="240" w:after="180"/>
      <w:outlineLvl w:val="0"/>
    </w:pPr>
    <w:rPr>
      <w:rFonts w:ascii="Arial" w:hAnsi="Arial" w:eastAsia="Arial" w:cs="Arial"/>
      <w:b/>
      <w:bCs/>
      <w:color w:val="1F3A5F"/>
      <w:sz w:val="24"/>
      <w:szCs w:val="24"/>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2E5A88"/>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31</Pages>
  <Words>7751</Words>
  <Characters>43771</Characters>
  <CharactersWithSpaces>50264</CharactersWithSpaces>
  <Paragraphs>1245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2026-09-17T02:46:14Z</dcterms:created>
  <dc:creator>Un-named</dc:creator>
  <dc:description/>
  <dc:language>en-US</dc:language>
  <cp:lastModifiedBy/>
  <dcterms:modified xsi:type="dcterms:W3CDTF">2026-09-16T23:46:21Z</dcterms:modified>
  <cp:revision>2</cp:revision>
  <dc:subject/>
  <dc:title/>
</cp:coreProperties>
</file>