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600"/>
        <w:jc w:val="center"/>
      </w:pPr>
      <w:r>
        <w:drawing>
          <wp:inline xmlns:a="http://schemas.openxmlformats.org/drawingml/2006/main" xmlns:pic="http://schemas.openxmlformats.org/drawingml/2006/picture">
            <wp:extent cx="2286000" cy="561975"/>
            <wp:docPr id="1" name="Picture 1"/>
            <wp:cNvGraphicFramePr>
              <a:graphicFrameLocks noChangeAspect="1"/>
            </wp:cNvGraphicFramePr>
            <a:graphic>
              <a:graphicData uri="http://schemas.openxmlformats.org/drawingml/2006/picture">
                <pic:pic>
                  <pic:nvPicPr>
                    <pic:cNvPr id="0" name="duoc_logo.png"/>
                    <pic:cNvPicPr/>
                  </pic:nvPicPr>
                  <pic:blipFill>
                    <a:blip r:embed="rId9"/>
                    <a:stretch>
                      <a:fillRect/>
                    </a:stretch>
                  </pic:blipFill>
                  <pic:spPr>
                    <a:xfrm>
                      <a:off x="0" y="0"/>
                      <a:ext cx="2286000" cy="561975"/>
                    </a:xfrm>
                    <a:prstGeom prst="rect"/>
                  </pic:spPr>
                </pic:pic>
              </a:graphicData>
            </a:graphic>
          </wp:inline>
        </w:drawing>
      </w:r>
    </w:p>
    <w:p/>
    <w:p/>
    <w:p>
      <w:pPr>
        <w:spacing w:after="160"/>
        <w:jc w:val="center"/>
      </w:pPr>
      <w:r>
        <w:rPr>
          <w:rFonts w:ascii="Arial" w:hAnsi="Arial"/>
          <w:b/>
          <w:color w:val="1F3864"/>
          <w:sz w:val="32"/>
        </w:rPr>
        <w:t>Informe de seguridad y calidad en el desarrollo de software</w:t>
      </w:r>
    </w:p>
    <w:p>
      <w:pPr>
        <w:spacing w:after="80"/>
        <w:jc w:val="center"/>
      </w:pPr>
      <w:r>
        <w:rPr>
          <w:rFonts w:ascii="Arial" w:hAnsi="Arial"/>
          <w:b w:val="0"/>
          <w:color w:val="404040"/>
          <w:sz w:val="22"/>
        </w:rPr>
        <w:t>Evaluación Parcial N°3 · Ejecución de pruebas — Sistema de Gestión Atlas</w:t>
      </w:r>
    </w:p>
    <w:p>
      <w:pPr>
        <w:spacing w:after="80"/>
        <w:jc w:val="center"/>
      </w:pPr>
      <w:r>
        <w:rPr>
          <w:rFonts w:ascii="Arial" w:hAnsi="Arial"/>
          <w:b w:val="0"/>
          <w:color w:val="404040"/>
          <w:sz w:val="22"/>
        </w:rPr>
        <w:t>ISY1102 · Seguridad y Calidad en el Desarrollo de Software — Sección 004V</w:t>
      </w:r>
    </w:p>
    <w:p/>
    <w:p/>
    <w:p/>
    <w:p/>
    <w:p/>
    <w:p/>
    <w:p>
      <w:pPr>
        <w:spacing w:after="40"/>
        <w:jc w:val="right"/>
      </w:pPr>
      <w:r>
        <w:rPr>
          <w:rFonts w:ascii="Arial" w:hAnsi="Arial"/>
          <w:b/>
          <w:color w:val="1F3864"/>
          <w:sz w:val="22"/>
        </w:rPr>
        <w:t xml:space="preserve">Integrantes:  </w:t>
      </w:r>
      <w:r>
        <w:rPr>
          <w:rFonts w:ascii="Arial" w:hAnsi="Arial"/>
          <w:sz w:val="22"/>
        </w:rPr>
        <w:t>Elías Delgado Manríquez · Rolando Aldana</w:t>
      </w:r>
    </w:p>
    <w:p>
      <w:pPr>
        <w:spacing w:after="40"/>
        <w:jc w:val="right"/>
      </w:pPr>
      <w:r>
        <w:rPr>
          <w:rFonts w:ascii="Arial" w:hAnsi="Arial"/>
          <w:b/>
          <w:color w:val="1F3864"/>
          <w:sz w:val="22"/>
        </w:rPr>
        <w:t xml:space="preserve">Carrera:  </w:t>
      </w:r>
      <w:r>
        <w:rPr>
          <w:rFonts w:ascii="Arial" w:hAnsi="Arial"/>
          <w:sz w:val="22"/>
        </w:rPr>
        <w:t>Ingeniería en Informática</w:t>
      </w:r>
    </w:p>
    <w:p>
      <w:pPr>
        <w:spacing w:after="40"/>
        <w:jc w:val="right"/>
      </w:pPr>
      <w:r>
        <w:rPr>
          <w:rFonts w:ascii="Arial" w:hAnsi="Arial"/>
          <w:b/>
          <w:color w:val="1F3864"/>
          <w:sz w:val="22"/>
        </w:rPr>
        <w:t xml:space="preserve">Docente:  </w:t>
      </w:r>
      <w:r>
        <w:rPr>
          <w:rFonts w:ascii="Arial" w:hAnsi="Arial"/>
          <w:sz w:val="22"/>
        </w:rPr>
        <w:t>Johnnathan René Cubillos Flores</w:t>
      </w:r>
    </w:p>
    <w:p>
      <w:r>
        <w:br w:type="page"/>
      </w:r>
    </w:p>
    <w:p>
      <w:pPr>
        <w:spacing w:after="160"/>
      </w:pPr>
      <w:r>
        <w:rPr>
          <w:rFonts w:ascii="Arial" w:hAnsi="Arial"/>
          <w:b/>
          <w:color w:val="1F3864"/>
          <w:sz w:val="24"/>
        </w:rPr>
        <w:t>Índice</w:t>
      </w:r>
    </w:p>
    <w:p>
      <w:pPr>
        <w:tabs>
          <w:tab w:pos="9072" w:val="right" w:leader="dot"/>
        </w:tabs>
        <w:spacing w:after="80" w:line="288" w:lineRule="auto"/>
      </w:pPr>
      <w:r>
        <w:rPr>
          <w:rFonts w:ascii="Arial" w:hAnsi="Arial"/>
          <w:b/>
          <w:sz w:val="22"/>
        </w:rPr>
        <w:t>1. Introducción</w:t>
        <w:tab/>
        <w:t>3</w:t>
      </w:r>
    </w:p>
    <w:p>
      <w:pPr>
        <w:tabs>
          <w:tab w:pos="9072" w:val="right" w:leader="dot"/>
        </w:tabs>
        <w:spacing w:after="80" w:line="288" w:lineRule="auto"/>
      </w:pPr>
      <w:r>
        <w:rPr>
          <w:rFonts w:ascii="Arial" w:hAnsi="Arial"/>
          <w:b/>
          <w:sz w:val="22"/>
        </w:rPr>
        <w:t>2. Criterios de calidad, seguridad y cumplimiento normativo</w:t>
        <w:tab/>
        <w:t>3</w:t>
      </w:r>
    </w:p>
    <w:p>
      <w:pPr>
        <w:tabs>
          <w:tab w:pos="9072" w:val="right" w:leader="dot"/>
        </w:tabs>
        <w:spacing w:after="80" w:line="288" w:lineRule="auto"/>
      </w:pPr>
      <w:r>
        <w:rPr>
          <w:rFonts w:ascii="Arial" w:hAnsi="Arial"/>
          <w:b/>
          <w:sz w:val="22"/>
        </w:rPr>
        <w:t>3. Plan de pruebas</w:t>
        <w:tab/>
        <w:t>4</w:t>
      </w:r>
    </w:p>
    <w:p>
      <w:pPr>
        <w:tabs>
          <w:tab w:pos="9072" w:val="right" w:leader="dot"/>
        </w:tabs>
        <w:spacing w:after="80" w:line="288" w:lineRule="auto"/>
        <w:ind w:left="432"/>
      </w:pPr>
      <w:r>
        <w:rPr>
          <w:rFonts w:ascii="Arial" w:hAnsi="Arial"/>
          <w:sz w:val="22"/>
        </w:rPr>
        <w:t>3.1 Estrategia de pruebas</w:t>
        <w:tab/>
        <w:t>4</w:t>
      </w:r>
    </w:p>
    <w:p>
      <w:pPr>
        <w:tabs>
          <w:tab w:pos="9072" w:val="right" w:leader="dot"/>
        </w:tabs>
        <w:spacing w:after="80" w:line="288" w:lineRule="auto"/>
        <w:ind w:left="432"/>
      </w:pPr>
      <w:r>
        <w:rPr>
          <w:rFonts w:ascii="Arial" w:hAnsi="Arial"/>
          <w:sz w:val="22"/>
        </w:rPr>
        <w:t>3.2 Tipos de prueba</w:t>
        <w:tab/>
        <w:t>4</w:t>
      </w:r>
    </w:p>
    <w:p>
      <w:pPr>
        <w:tabs>
          <w:tab w:pos="9072" w:val="right" w:leader="dot"/>
        </w:tabs>
        <w:spacing w:after="80" w:line="288" w:lineRule="auto"/>
        <w:ind w:left="432"/>
      </w:pPr>
      <w:r>
        <w:rPr>
          <w:rFonts w:ascii="Arial" w:hAnsi="Arial"/>
          <w:sz w:val="22"/>
        </w:rPr>
        <w:t>3.3 Criterios de aceptación</w:t>
        <w:tab/>
        <w:t>5</w:t>
      </w:r>
    </w:p>
    <w:p>
      <w:pPr>
        <w:tabs>
          <w:tab w:pos="9072" w:val="right" w:leader="dot"/>
        </w:tabs>
        <w:spacing w:after="80" w:line="288" w:lineRule="auto"/>
        <w:ind w:left="432"/>
      </w:pPr>
      <w:r>
        <w:rPr>
          <w:rFonts w:ascii="Arial" w:hAnsi="Arial"/>
          <w:sz w:val="22"/>
        </w:rPr>
        <w:t>3.4 Herramientas utilizadas</w:t>
        <w:tab/>
        <w:t>5</w:t>
      </w:r>
    </w:p>
    <w:p>
      <w:pPr>
        <w:tabs>
          <w:tab w:pos="9072" w:val="right" w:leader="dot"/>
        </w:tabs>
        <w:spacing w:after="80" w:line="288" w:lineRule="auto"/>
      </w:pPr>
      <w:r>
        <w:rPr>
          <w:rFonts w:ascii="Arial" w:hAnsi="Arial"/>
          <w:b/>
          <w:sz w:val="22"/>
        </w:rPr>
        <w:t>4. Diseño de casos de prueba</w:t>
        <w:tab/>
        <w:t>5</w:t>
      </w:r>
    </w:p>
    <w:p>
      <w:pPr>
        <w:tabs>
          <w:tab w:pos="9072" w:val="right" w:leader="dot"/>
        </w:tabs>
        <w:spacing w:after="80" w:line="288" w:lineRule="auto"/>
      </w:pPr>
      <w:r>
        <w:rPr>
          <w:rFonts w:ascii="Arial" w:hAnsi="Arial"/>
          <w:b/>
          <w:sz w:val="22"/>
        </w:rPr>
        <w:t>5. Ejecución de pruebas</w:t>
        <w:tab/>
        <w:t>8</w:t>
      </w:r>
    </w:p>
    <w:p>
      <w:pPr>
        <w:tabs>
          <w:tab w:pos="9072" w:val="right" w:leader="dot"/>
        </w:tabs>
        <w:spacing w:after="80" w:line="288" w:lineRule="auto"/>
        <w:ind w:left="432"/>
      </w:pPr>
      <w:r>
        <w:rPr>
          <w:rFonts w:ascii="Arial" w:hAnsi="Arial"/>
          <w:sz w:val="22"/>
        </w:rPr>
        <w:t>5.1 Resumen de ejecución</w:t>
        <w:tab/>
        <w:t>8</w:t>
      </w:r>
    </w:p>
    <w:p>
      <w:pPr>
        <w:tabs>
          <w:tab w:pos="9072" w:val="right" w:leader="dot"/>
        </w:tabs>
        <w:spacing w:after="80" w:line="288" w:lineRule="auto"/>
        <w:ind w:left="432"/>
      </w:pPr>
      <w:r>
        <w:rPr>
          <w:rFonts w:ascii="Arial" w:hAnsi="Arial"/>
          <w:sz w:val="22"/>
        </w:rPr>
        <w:t>5.2 Detalle de ejecución de casos</w:t>
        <w:tab/>
        <w:t>8</w:t>
      </w:r>
    </w:p>
    <w:p>
      <w:pPr>
        <w:tabs>
          <w:tab w:pos="9072" w:val="right" w:leader="dot"/>
        </w:tabs>
        <w:spacing w:after="80" w:line="288" w:lineRule="auto"/>
        <w:ind w:left="432"/>
      </w:pPr>
      <w:r>
        <w:rPr>
          <w:rFonts w:ascii="Arial" w:hAnsi="Arial"/>
          <w:sz w:val="22"/>
        </w:rPr>
        <w:t>5.3 Criticidad de incidentes</w:t>
        <w:tab/>
        <w:t>11</w:t>
      </w:r>
    </w:p>
    <w:p>
      <w:pPr>
        <w:tabs>
          <w:tab w:pos="9072" w:val="right" w:leader="dot"/>
        </w:tabs>
        <w:spacing w:after="80" w:line="288" w:lineRule="auto"/>
      </w:pPr>
      <w:r>
        <w:rPr>
          <w:rFonts w:ascii="Arial" w:hAnsi="Arial"/>
          <w:b/>
          <w:sz w:val="22"/>
        </w:rPr>
        <w:t>6. Análisis ético y normativo de los resultados obtenidos</w:t>
        <w:tab/>
        <w:t>12</w:t>
      </w:r>
    </w:p>
    <w:p>
      <w:r>
        <w:br w:type="page"/>
      </w:r>
    </w:p>
    <w:p>
      <w:pPr>
        <w:pStyle w:val="Heading1"/>
      </w:pPr>
      <w:r>
        <w:t>1. Introducción</w:t>
      </w:r>
    </w:p>
    <w:p>
      <w:pPr>
        <w:jc w:val="both"/>
      </w:pPr>
      <w:r>
        <w:t>Atlas es la plataforma web que CreaLab SpA desarrolla para que pequeñas y medianas empresas chilenas gestionen clientes, contratos y documentos. Es un sistema multiempresa: varias pymes administran su información en el mismo lugar y cada una debe ver únicamente lo suyo. La arquitectura es de tres capas —una SPA en React, una API REST en Node.js con Express y una base de datos PostgreSQL— y maneja datos personales y bancarios de terceros, lo que la somete a la legislación chilena de protección de datos.</w:t>
      </w:r>
    </w:p>
    <w:p>
      <w:pPr>
        <w:jc w:val="both"/>
      </w:pPr>
      <w:r>
        <w:t>Este informe da continuidad al plan de pruebas presentado en la primera evaluación parcial y lo lleva a la ejecución. Respecto de esa entrega, se precisaron los criterios de aceptación por caso, se afinó la trazabilidad entre requerimientos y pruebas, y se detalló el ambiente de ejecución. El propósito es verificar, con evidencia técnica, que Atlas cumple los requerimientos funcionales, de seguridad y de cumplimiento normativo definidos en la ERS, y documentar los hallazgos con su criticidad.</w:t>
      </w:r>
    </w:p>
    <w:p>
      <w:pPr>
        <w:jc w:val="both"/>
      </w:pPr>
      <w:r>
        <w:t>El documento presenta los criterios de calidad, seguridad y cumplimiento aplicables (sección 2); el plan de pruebas con su estrategia, tipos, criterios de aceptación y herramientas (sección 3); el diseño de los casos representativos (sección 4); la ejecución con su resumen, detalle y criticidad de incidentes (sección 5); y el análisis ético y normativo de los resultados (sección 6).</w:t>
      </w:r>
    </w:p>
    <w:p>
      <w:pPr>
        <w:jc w:val="both"/>
      </w:pPr>
      <w:r>
        <w:t>Las pruebas se ejecutaron sobre un ambiente QA local levantado a partir de la ERS v1.1 y del contrato de pruebas definido por el equipo (colección de endpoints críticos), dado que al momento de la evaluación CreaLab aún no habilitaba un ambiente QA del sistema. Este ambiente reproduce el comportamiento y los endpoints especificados, lo que permite ejecutar la batería de pruebas y registrar evidencia real.</w:t>
      </w:r>
    </w:p>
    <w:p>
      <w:pPr>
        <w:pStyle w:val="Heading1"/>
      </w:pPr>
      <w:r>
        <w:t>2. Criterios de calidad, seguridad y cumplimiento normativo</w:t>
      </w:r>
    </w:p>
    <w:p>
      <w:pPr>
        <w:jc w:val="both"/>
      </w:pPr>
      <w:r>
        <w:t>Los estándares aplicados a Atlas se organizan en tres ejes, coherentes con el tipo de producto y con la ERS.</w:t>
      </w:r>
    </w:p>
    <w:p>
      <w:pPr>
        <w:pStyle w:val="ListBullet"/>
        <w:jc w:val="both"/>
      </w:pPr>
      <w:r>
        <w:rPr>
          <w:rFonts w:ascii="Arial" w:hAnsi="Arial"/>
          <w:b/>
          <w:sz w:val="22"/>
        </w:rPr>
        <w:t xml:space="preserve">Calidad de producto (ISO/IEC 25010): </w:t>
      </w:r>
      <w:r>
        <w:rPr>
          <w:rFonts w:ascii="Arial" w:hAnsi="Arial"/>
          <w:sz w:val="22"/>
        </w:rPr>
        <w:t>adecuación funcional en las operaciones CRUD, eficiencia de desempeño con un umbral de respuesta bajo 300 ms en operaciones simples, y usabilidad con atención a la accesibilidad de adultos mayores.</w:t>
      </w:r>
    </w:p>
    <w:p>
      <w:pPr>
        <w:pStyle w:val="ListBullet"/>
        <w:jc w:val="both"/>
      </w:pPr>
      <w:r>
        <w:rPr>
          <w:rFonts w:ascii="Arial" w:hAnsi="Arial"/>
          <w:b/>
          <w:sz w:val="22"/>
        </w:rPr>
        <w:t xml:space="preserve">Seguridad (OWASP Top 10 y ASVS): </w:t>
      </w:r>
      <w:r>
        <w:rPr>
          <w:rFonts w:ascii="Arial" w:hAnsi="Arial"/>
          <w:sz w:val="22"/>
        </w:rPr>
        <w:t>control de acceso por rol y por empresa resuelto en el backend (A01), protección frente a inyección SQL, XSS y CSRF (A03), autenticación y manejo de sesión con JWT de corta vigencia (A07) y cifrado en tránsito mediante TLS (A02).</w:t>
      </w:r>
    </w:p>
    <w:p>
      <w:pPr>
        <w:pStyle w:val="ListBullet"/>
        <w:jc w:val="both"/>
      </w:pPr>
      <w:r>
        <w:rPr>
          <w:rFonts w:ascii="Arial" w:hAnsi="Arial"/>
          <w:b/>
          <w:sz w:val="22"/>
        </w:rPr>
        <w:t xml:space="preserve">Cumplimiento legal: </w:t>
      </w:r>
      <w:r>
        <w:rPr>
          <w:rFonts w:ascii="Arial" w:hAnsi="Arial"/>
          <w:sz w:val="22"/>
        </w:rPr>
        <w:t>Ley 19.628 y Ley 21.719 sobre protección de datos personales, que exigen resguardar los datos personales y bancarios de los clientes de cada empresa y restringir su acceso a terceros.</w:t>
      </w:r>
    </w:p>
    <w:p>
      <w:pPr>
        <w:jc w:val="both"/>
      </w:pPr>
      <w:r>
        <w:t>La idea que ordena la priorización es que un defecto de autorización en Atlas no es solo una falla funcional: el mismo defecto compromete a la vez la calidad, la seguridad y el cumplimiento legal, porque expone datos de terceros. Por eso el control de acceso encabeza la prioridad del plan.</w:t>
      </w:r>
    </w:p>
    <w:p>
      <w:pPr>
        <w:pStyle w:val="Heading1"/>
      </w:pPr>
      <w:r>
        <w:t>3. Plan de pruebas</w:t>
      </w:r>
    </w:p>
    <w:p>
      <w:pPr>
        <w:pStyle w:val="Heading2"/>
      </w:pPr>
      <w:r>
        <w:t>3.1 Estrategia de pruebas</w:t>
      </w:r>
    </w:p>
    <w:p>
      <w:pPr>
        <w:jc w:val="both"/>
      </w:pPr>
      <w:r>
        <w:t>Se adopta un enfoque mixto basado en riesgo que combina verificación dinámica y análisis estático. La verificación dinámica ejercita la API, el control de acceso y la resiliencia bajo carga; el análisis estático revisa el código y las dependencias sin ejecutarlos. El proceso sigue las etapas de preparación del ambiente, ejecución de la suite de pruebas y registro de evidencia y hallazgos. La prioridad la determina el riesgo de exponer datos de terceros, por lo que los casos de aislamiento entre empresas y de inyección se ejecutan primero. El criterio de entrada es disponer del ambiente y de los datos de prueba; el de salida, haber ejecutado el 100% de los casos y documentado los incidentes con su criticidad.</w:t>
      </w:r>
    </w:p>
    <w:p>
      <w:pPr>
        <w:pStyle w:val="Heading2"/>
      </w:pPr>
      <w:r>
        <w:t>3.2 Tipos de prueba</w:t>
      </w:r>
    </w:p>
    <w:p>
      <w:pPr>
        <w:pStyle w:val="ListBullet"/>
        <w:jc w:val="both"/>
      </w:pPr>
      <w:r>
        <w:rPr>
          <w:rFonts w:ascii="Arial" w:hAnsi="Arial"/>
          <w:b/>
          <w:sz w:val="22"/>
        </w:rPr>
        <w:t xml:space="preserve">Funcionales: </w:t>
      </w:r>
      <w:r>
        <w:rPr>
          <w:rFonts w:ascii="Arial" w:hAnsi="Arial"/>
          <w:sz w:val="22"/>
        </w:rPr>
        <w:t>verifican que Atlas cumpla las reglas de negocio y las operaciones de la ERS (autenticación, CRUD de clientes, validación de datos).</w:t>
      </w:r>
    </w:p>
    <w:p>
      <w:pPr>
        <w:pStyle w:val="ListBullet"/>
        <w:jc w:val="both"/>
      </w:pPr>
      <w:r>
        <w:rPr>
          <w:rFonts w:ascii="Arial" w:hAnsi="Arial"/>
          <w:b/>
          <w:sz w:val="22"/>
        </w:rPr>
        <w:t xml:space="preserve">De seguridad: </w:t>
      </w:r>
      <w:r>
        <w:rPr>
          <w:rFonts w:ascii="Arial" w:hAnsi="Arial"/>
          <w:sz w:val="22"/>
        </w:rPr>
        <w:t>evalúan control de acceso, aislamiento entre empresas y resistencia a inyección, XSS y CSRF, mediante pruebas de API con aserciones y la verificación manual de las respuestas.</w:t>
      </w:r>
    </w:p>
    <w:p>
      <w:pPr>
        <w:pStyle w:val="ListBullet"/>
        <w:jc w:val="both"/>
      </w:pPr>
      <w:r>
        <w:rPr>
          <w:rFonts w:ascii="Arial" w:hAnsi="Arial"/>
          <w:b/>
          <w:sz w:val="22"/>
        </w:rPr>
        <w:t xml:space="preserve">No funcionales: </w:t>
      </w:r>
      <w:r>
        <w:rPr>
          <w:rFonts w:ascii="Arial" w:hAnsi="Arial"/>
          <w:sz w:val="22"/>
        </w:rPr>
        <w:t>miden rendimiento y estabilidad bajo carga concurrente, como indicador de disponibilidad.</w:t>
      </w:r>
    </w:p>
    <w:p>
      <w:pPr>
        <w:pStyle w:val="Heading2"/>
      </w:pPr>
      <w:r>
        <w:t>3.3 Criterios de aceptación</w:t>
      </w:r>
    </w:p>
    <w:p>
      <w:pPr>
        <w:jc w:val="both"/>
      </w:pPr>
      <w:r>
        <w:t>Un caso se considera aprobado cuando el sistema procesa los datos correctamente y no expone información confidencial: las operaciones legítimas responden con los códigos esperados (200/201), los accesos indebidos se rechazan con 401, 403 o 404, y la validación de entrada responde 422. No se aceptan vulnerabilidades de criticidad Alta o Crítica sin su reporte y su plan de mitigación.</w:t>
      </w:r>
    </w:p>
    <w:p>
      <w:pPr>
        <w:pStyle w:val="Heading2"/>
      </w:pPr>
      <w:r>
        <w:t>3.4 Herramientas utilizadas</w:t>
      </w:r>
    </w:p>
    <w:p>
      <w:pPr>
        <w:jc w:val="both"/>
      </w:pPr>
      <w:r>
        <w:t>La ejecución se apoya en herramientas específicas por tipo de prueba, con los recursos y el ambiente que se indican a continuación.</w:t>
      </w:r>
    </w:p>
    <w:p>
      <w:pPr>
        <w:pStyle w:val="ListBullet"/>
        <w:jc w:val="both"/>
      </w:pPr>
      <w:r>
        <w:rPr>
          <w:rFonts w:ascii="Arial" w:hAnsi="Arial"/>
          <w:b/>
          <w:sz w:val="22"/>
        </w:rPr>
        <w:t xml:space="preserve">Pruebas de API: </w:t>
      </w:r>
      <w:r>
        <w:rPr>
          <w:rFonts w:ascii="Arial" w:hAnsi="Arial"/>
          <w:sz w:val="22"/>
        </w:rPr>
        <w:t>Postman y Newman para ejecutar la colección de endpoints críticos con sus aserciones automáticas.</w:t>
      </w:r>
    </w:p>
    <w:p>
      <w:pPr>
        <w:pStyle w:val="ListBullet"/>
        <w:jc w:val="both"/>
      </w:pPr>
      <w:r>
        <w:rPr>
          <w:rFonts w:ascii="Arial" w:hAnsi="Arial"/>
          <w:b/>
          <w:sz w:val="22"/>
        </w:rPr>
        <w:t xml:space="preserve">Análisis estático: </w:t>
      </w:r>
      <w:r>
        <w:rPr>
          <w:rFonts w:ascii="Arial" w:hAnsi="Arial"/>
          <w:sz w:val="22"/>
        </w:rPr>
        <w:t>Semgrep para el código fuente (reglas OWASP, Node.js y de secretos) y npm audit para el análisis de composición de dependencias.</w:t>
      </w:r>
    </w:p>
    <w:p>
      <w:pPr>
        <w:pStyle w:val="ListBullet"/>
        <w:jc w:val="both"/>
      </w:pPr>
      <w:r>
        <w:rPr>
          <w:rFonts w:ascii="Arial" w:hAnsi="Arial"/>
          <w:b/>
          <w:sz w:val="22"/>
        </w:rPr>
        <w:t xml:space="preserve">Rendimiento: </w:t>
      </w:r>
      <w:r>
        <w:rPr>
          <w:rFonts w:ascii="Arial" w:hAnsi="Arial"/>
          <w:sz w:val="22"/>
        </w:rPr>
        <w:t>generación de carga concurrente y medición de recursos con docker stats.</w:t>
      </w:r>
    </w:p>
    <w:p>
      <w:pPr>
        <w:pStyle w:val="ListBullet"/>
        <w:jc w:val="both"/>
      </w:pPr>
      <w:r>
        <w:rPr>
          <w:rFonts w:ascii="Arial" w:hAnsi="Arial"/>
          <w:b/>
          <w:sz w:val="22"/>
        </w:rPr>
        <w:t xml:space="preserve">Infraestructura: </w:t>
      </w:r>
      <w:r>
        <w:rPr>
          <w:rFonts w:ascii="Arial" w:hAnsi="Arial"/>
          <w:sz w:val="22"/>
        </w:rPr>
        <w:t>Docker y Docker Compose para levantar la API y la base de datos en contenedores aislados sobre HTTPS.</w:t>
      </w:r>
    </w:p>
    <w:p>
      <w:pPr>
        <w:pStyle w:val="ListBullet"/>
        <w:jc w:val="both"/>
      </w:pPr>
      <w:r>
        <w:rPr>
          <w:rFonts w:ascii="Arial" w:hAnsi="Arial"/>
          <w:b/>
          <w:sz w:val="22"/>
        </w:rPr>
        <w:t xml:space="preserve">Recursos y entorno: </w:t>
      </w:r>
      <w:r>
        <w:rPr>
          <w:rFonts w:ascii="Arial" w:hAnsi="Arial"/>
          <w:sz w:val="22"/>
        </w:rPr>
        <w:t>roles de analista de QA y de seguridad; equipo con Docker; ambiente QA local aislado del entorno de desarrollo, con datos de prueba de dos empresas.</w:t>
      </w:r>
    </w:p>
    <w:p>
      <w:pPr>
        <w:pStyle w:val="Heading1"/>
      </w:pPr>
      <w:r>
        <w:t>4. Diseño de casos de prueba</w:t>
      </w:r>
    </w:p>
    <w:p>
      <w:pPr>
        <w:jc w:val="both"/>
      </w:pPr>
      <w:r>
        <w:t>Se diseñan casos representativos para los distintos tipos de requerimiento de la ERS. Cada ficha indica el requerimiento asociado, las precondiciones, los pasos, el resultado esperado, el criterio de aceptación, los datos de prueba y el tipo. La cobertura completa de los 42 requerimientos queda registrada en la matriz de trazabilidad del plan.</w:t>
      </w:r>
    </w:p>
    <w:tbl>
      <w:tblPr>
        <w:tblStyle w:val="TableGrid"/>
        <w:tblW w:type="auto" w:w="0"/>
        <w:jc w:val="center"/>
        <w:tblLayout w:type="fixed"/>
        <w:tblLook w:firstColumn="1" w:firstRow="1" w:lastColumn="0" w:lastRow="0" w:noHBand="0" w:noVBand="1" w:val="04A0"/>
      </w:tblPr>
      <w:tblGrid>
        <w:gridCol w:w="4320"/>
        <w:gridCol w:w="4320"/>
      </w:tblGrid>
      <w:tr>
        <w:trPr>
          <w:cantSplit w:val="true"/>
        </w:trPr>
        <w:tc>
          <w:tcPr>
            <w:tcW w:type="dxa" w:w="8640"/>
            <w:gridSpan w:val="2"/>
            <w:shd w:val="clear" w:color="auto" w:fill="1F3864"/>
          </w:tcPr>
          <w:p>
            <w:pPr>
              <w:spacing w:line="276" w:lineRule="auto" w:after="20" w:before="20"/>
              <w:jc w:val="left"/>
            </w:pPr>
            <w:r/>
            <w:r>
              <w:rPr>
                <w:rFonts w:ascii="Arial" w:hAnsi="Arial"/>
                <w:b/>
                <w:color w:val="FFFFFF"/>
                <w:sz w:val="20"/>
              </w:rPr>
              <w:t xml:space="preserve">CP-01  —  </w:t>
            </w:r>
            <w:r>
              <w:rPr>
                <w:rFonts w:ascii="Arial" w:hAnsi="Arial"/>
                <w:b/>
                <w:color w:val="FFFFFF"/>
                <w:sz w:val="20"/>
              </w:rPr>
              <w:t xml:space="preserve">Inicio de sesión y protección del token   </w:t>
            </w:r>
            <w:r>
              <w:rPr>
                <w:rFonts w:ascii="Arial" w:hAnsi="Arial"/>
                <w:b w:val="0"/>
                <w:color w:val="FFFFFF"/>
                <w:sz w:val="20"/>
              </w:rPr>
              <w:t>[RF-1.1, NFR-SEG-1, NFR-SEG-2, NFR-SEG-9]</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Descripción</w:t>
            </w:r>
          </w:p>
        </w:tc>
        <w:tc>
          <w:tcPr>
            <w:tcW w:type="dxa" w:w="6800"/>
          </w:tcPr>
          <w:p>
            <w:pPr>
              <w:spacing w:line="276" w:lineRule="auto" w:after="20" w:before="20"/>
              <w:jc w:val="left"/>
            </w:pPr>
            <w:r/>
            <w:r>
              <w:rPr>
                <w:rFonts w:ascii="Arial" w:hAnsi="Arial"/>
                <w:b w:val="0"/>
                <w:sz w:val="20"/>
              </w:rPr>
              <w:t>Autenticar a un usuario con credenciales válidas y verificar que el token emitido sea seguro.</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Precondiciones</w:t>
            </w:r>
          </w:p>
        </w:tc>
        <w:tc>
          <w:tcPr>
            <w:tcW w:type="dxa" w:w="6800"/>
          </w:tcPr>
          <w:p>
            <w:pPr>
              <w:spacing w:line="276" w:lineRule="auto" w:after="20" w:before="20"/>
              <w:jc w:val="left"/>
            </w:pPr>
            <w:r/>
            <w:r>
              <w:rPr>
                <w:rFonts w:ascii="Arial" w:hAnsi="Arial"/>
                <w:b w:val="0"/>
                <w:sz w:val="20"/>
              </w:rPr>
              <w:t>Ambiente QA levantado; usuario administrador válido.</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Pasos</w:t>
            </w:r>
          </w:p>
        </w:tc>
        <w:tc>
          <w:tcPr>
            <w:tcW w:type="dxa" w:w="6800"/>
          </w:tcPr>
          <w:p>
            <w:pPr>
              <w:spacing w:line="276" w:lineRule="auto" w:after="20" w:before="20"/>
              <w:jc w:val="left"/>
            </w:pPr>
            <w:r/>
            <w:r>
              <w:rPr>
                <w:rFonts w:ascii="Arial" w:hAnsi="Arial"/>
                <w:b w:val="0"/>
                <w:sz w:val="20"/>
              </w:rPr>
              <w:t>1. POST /api/auth/login con credenciales válidas.  2. Validar código, token y vigencia.  3. Decodificar el payload del JWT.</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Resultado esperado</w:t>
            </w:r>
          </w:p>
        </w:tc>
        <w:tc>
          <w:tcPr>
            <w:tcW w:type="dxa" w:w="6800"/>
          </w:tcPr>
          <w:p>
            <w:pPr>
              <w:spacing w:line="276" w:lineRule="auto" w:after="20" w:before="20"/>
              <w:jc w:val="left"/>
            </w:pPr>
            <w:r/>
            <w:r>
              <w:rPr>
                <w:rFonts w:ascii="Arial" w:hAnsi="Arial"/>
                <w:b w:val="0"/>
                <w:sz w:val="20"/>
              </w:rPr>
              <w:t>HTTP 200 sobre HTTPS, con JWT y refresh token, vigencia ≤ 15 min y sin exponer contraseña ni hash.</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Criterio de aceptación</w:t>
            </w:r>
          </w:p>
        </w:tc>
        <w:tc>
          <w:tcPr>
            <w:tcW w:type="dxa" w:w="6800"/>
          </w:tcPr>
          <w:p>
            <w:pPr>
              <w:spacing w:line="276" w:lineRule="auto" w:after="20" w:before="20"/>
              <w:jc w:val="left"/>
            </w:pPr>
            <w:r/>
            <w:r>
              <w:rPr>
                <w:rFonts w:ascii="Arial" w:hAnsi="Arial"/>
                <w:b w:val="0"/>
                <w:sz w:val="20"/>
              </w:rPr>
              <w:t>Todas las aserciones del caso conformes.</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Datos de prueba</w:t>
            </w:r>
          </w:p>
        </w:tc>
        <w:tc>
          <w:tcPr>
            <w:tcW w:type="dxa" w:w="6800"/>
          </w:tcPr>
          <w:p>
            <w:pPr>
              <w:spacing w:line="276" w:lineRule="auto" w:after="20" w:before="20"/>
              <w:jc w:val="left"/>
            </w:pPr>
            <w:r/>
            <w:r>
              <w:rPr>
                <w:rFonts w:ascii="Arial" w:hAnsi="Arial"/>
                <w:b w:val="0"/>
                <w:sz w:val="20"/>
              </w:rPr>
              <w:t>Usuario admin.pyme01 y su contraseña.</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Tipo de prueba</w:t>
            </w:r>
          </w:p>
        </w:tc>
        <w:tc>
          <w:tcPr>
            <w:tcW w:type="dxa" w:w="6800"/>
          </w:tcPr>
          <w:p>
            <w:pPr>
              <w:spacing w:line="276" w:lineRule="auto" w:after="20" w:before="20"/>
              <w:jc w:val="left"/>
            </w:pPr>
            <w:r/>
            <w:r>
              <w:rPr>
                <w:rFonts w:ascii="Arial" w:hAnsi="Arial"/>
                <w:b w:val="0"/>
                <w:sz w:val="20"/>
              </w:rPr>
              <w:t>Funcional / Seguridad</w:t>
            </w:r>
          </w:p>
        </w:tc>
      </w:tr>
    </w:tbl>
    <w:p>
      <w:pPr>
        <w:spacing w:after="40"/>
      </w:pPr>
    </w:p>
    <w:tbl>
      <w:tblPr>
        <w:tblStyle w:val="TableGrid"/>
        <w:tblW w:type="auto" w:w="0"/>
        <w:jc w:val="center"/>
        <w:tblLayout w:type="fixed"/>
        <w:tblLook w:firstColumn="1" w:firstRow="1" w:lastColumn="0" w:lastRow="0" w:noHBand="0" w:noVBand="1" w:val="04A0"/>
      </w:tblPr>
      <w:tblGrid>
        <w:gridCol w:w="4320"/>
        <w:gridCol w:w="4320"/>
      </w:tblGrid>
      <w:tr>
        <w:trPr>
          <w:cantSplit w:val="true"/>
        </w:trPr>
        <w:tc>
          <w:tcPr>
            <w:tcW w:type="dxa" w:w="8640"/>
            <w:gridSpan w:val="2"/>
            <w:shd w:val="clear" w:color="auto" w:fill="1F3864"/>
          </w:tcPr>
          <w:p>
            <w:pPr>
              <w:spacing w:line="276" w:lineRule="auto" w:after="20" w:before="20"/>
              <w:jc w:val="left"/>
            </w:pPr>
            <w:r/>
            <w:r>
              <w:rPr>
                <w:rFonts w:ascii="Arial" w:hAnsi="Arial"/>
                <w:b/>
                <w:color w:val="FFFFFF"/>
                <w:sz w:val="20"/>
              </w:rPr>
              <w:t xml:space="preserve">CP-02  —  </w:t>
            </w:r>
            <w:r>
              <w:rPr>
                <w:rFonts w:ascii="Arial" w:hAnsi="Arial"/>
                <w:b/>
                <w:color w:val="FFFFFF"/>
                <w:sz w:val="20"/>
              </w:rPr>
              <w:t xml:space="preserve">Rol editor sin permisos de escritura   </w:t>
            </w:r>
            <w:r>
              <w:rPr>
                <w:rFonts w:ascii="Arial" w:hAnsi="Arial"/>
                <w:b w:val="0"/>
                <w:color w:val="FFFFFF"/>
                <w:sz w:val="20"/>
              </w:rPr>
              <w:t>[RF-3.2, RB-4, NFR-SEG-4]</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Descripción</w:t>
            </w:r>
          </w:p>
        </w:tc>
        <w:tc>
          <w:tcPr>
            <w:tcW w:type="dxa" w:w="6800"/>
          </w:tcPr>
          <w:p>
            <w:pPr>
              <w:spacing w:line="276" w:lineRule="auto" w:after="20" w:before="20"/>
              <w:jc w:val="left"/>
            </w:pPr>
            <w:r/>
            <w:r>
              <w:rPr>
                <w:rFonts w:ascii="Arial" w:hAnsi="Arial"/>
                <w:b w:val="0"/>
                <w:sz w:val="20"/>
              </w:rPr>
              <w:t>Comprobar que un usuario con rol editor no puede crear, modificar ni eliminar información.</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Precondiciones</w:t>
            </w:r>
          </w:p>
        </w:tc>
        <w:tc>
          <w:tcPr>
            <w:tcW w:type="dxa" w:w="6800"/>
          </w:tcPr>
          <w:p>
            <w:pPr>
              <w:spacing w:line="276" w:lineRule="auto" w:after="20" w:before="20"/>
              <w:jc w:val="left"/>
            </w:pPr>
            <w:r/>
            <w:r>
              <w:rPr>
                <w:rFonts w:ascii="Arial" w:hAnsi="Arial"/>
                <w:b w:val="0"/>
                <w:sz w:val="20"/>
              </w:rPr>
              <w:t>Ambiente QA levantado; usuario con rol editor.</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Pasos</w:t>
            </w:r>
          </w:p>
        </w:tc>
        <w:tc>
          <w:tcPr>
            <w:tcW w:type="dxa" w:w="6800"/>
          </w:tcPr>
          <w:p>
            <w:pPr>
              <w:spacing w:line="276" w:lineRule="auto" w:after="20" w:before="20"/>
              <w:jc w:val="left"/>
            </w:pPr>
            <w:r/>
            <w:r>
              <w:rPr>
                <w:rFonts w:ascii="Arial" w:hAnsi="Arial"/>
                <w:b w:val="0"/>
                <w:sz w:val="20"/>
              </w:rPr>
              <w:t>1. Login con el editor.  2. POST /api/contratos.  3. PUT y DELETE /api/clientes.</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Resultado esperado</w:t>
            </w:r>
          </w:p>
        </w:tc>
        <w:tc>
          <w:tcPr>
            <w:tcW w:type="dxa" w:w="6800"/>
          </w:tcPr>
          <w:p>
            <w:pPr>
              <w:spacing w:line="276" w:lineRule="auto" w:after="20" w:before="20"/>
              <w:jc w:val="left"/>
            </w:pPr>
            <w:r/>
            <w:r>
              <w:rPr>
                <w:rFonts w:ascii="Arial" w:hAnsi="Arial"/>
                <w:b w:val="0"/>
                <w:sz w:val="20"/>
              </w:rPr>
              <w:t>El backend rechaza cada escritura con HTTP 403.</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Criterio de aceptación</w:t>
            </w:r>
          </w:p>
        </w:tc>
        <w:tc>
          <w:tcPr>
            <w:tcW w:type="dxa" w:w="6800"/>
          </w:tcPr>
          <w:p>
            <w:pPr>
              <w:spacing w:line="276" w:lineRule="auto" w:after="20" w:before="20"/>
              <w:jc w:val="left"/>
            </w:pPr>
            <w:r/>
            <w:r>
              <w:rPr>
                <w:rFonts w:ascii="Arial" w:hAnsi="Arial"/>
                <w:b w:val="0"/>
                <w:sz w:val="20"/>
              </w:rPr>
              <w:t>Las tres operaciones responden 403.</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Datos de prueba</w:t>
            </w:r>
          </w:p>
        </w:tc>
        <w:tc>
          <w:tcPr>
            <w:tcW w:type="dxa" w:w="6800"/>
          </w:tcPr>
          <w:p>
            <w:pPr>
              <w:spacing w:line="276" w:lineRule="auto" w:after="20" w:before="20"/>
              <w:jc w:val="left"/>
            </w:pPr>
            <w:r/>
            <w:r>
              <w:rPr>
                <w:rFonts w:ascii="Arial" w:hAnsi="Arial"/>
                <w:b w:val="0"/>
                <w:sz w:val="20"/>
              </w:rPr>
              <w:t>Usuario editor.pyme01.</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Tipo de prueba</w:t>
            </w:r>
          </w:p>
        </w:tc>
        <w:tc>
          <w:tcPr>
            <w:tcW w:type="dxa" w:w="6800"/>
          </w:tcPr>
          <w:p>
            <w:pPr>
              <w:spacing w:line="276" w:lineRule="auto" w:after="20" w:before="20"/>
              <w:jc w:val="left"/>
            </w:pPr>
            <w:r/>
            <w:r>
              <w:rPr>
                <w:rFonts w:ascii="Arial" w:hAnsi="Arial"/>
                <w:b w:val="0"/>
                <w:sz w:val="20"/>
              </w:rPr>
              <w:t>Seguridad (control de acceso)</w:t>
            </w:r>
          </w:p>
        </w:tc>
      </w:tr>
    </w:tbl>
    <w:p>
      <w:pPr>
        <w:spacing w:after="40"/>
      </w:pPr>
    </w:p>
    <w:tbl>
      <w:tblPr>
        <w:tblStyle w:val="TableGrid"/>
        <w:tblW w:type="auto" w:w="0"/>
        <w:jc w:val="center"/>
        <w:tblLayout w:type="fixed"/>
        <w:tblLook w:firstColumn="1" w:firstRow="1" w:lastColumn="0" w:lastRow="0" w:noHBand="0" w:noVBand="1" w:val="04A0"/>
      </w:tblPr>
      <w:tblGrid>
        <w:gridCol w:w="4320"/>
        <w:gridCol w:w="4320"/>
      </w:tblGrid>
      <w:tr>
        <w:trPr>
          <w:cantSplit w:val="true"/>
        </w:trPr>
        <w:tc>
          <w:tcPr>
            <w:tcW w:type="dxa" w:w="8640"/>
            <w:gridSpan w:val="2"/>
            <w:shd w:val="clear" w:color="auto" w:fill="1F3864"/>
          </w:tcPr>
          <w:p>
            <w:pPr>
              <w:spacing w:line="276" w:lineRule="auto" w:after="20" w:before="20"/>
              <w:jc w:val="left"/>
            </w:pPr>
            <w:r/>
            <w:r>
              <w:rPr>
                <w:rFonts w:ascii="Arial" w:hAnsi="Arial"/>
                <w:b/>
                <w:color w:val="FFFFFF"/>
                <w:sz w:val="20"/>
              </w:rPr>
              <w:t xml:space="preserve">CP-03  —  </w:t>
            </w:r>
            <w:r>
              <w:rPr>
                <w:rFonts w:ascii="Arial" w:hAnsi="Arial"/>
                <w:b/>
                <w:color w:val="FFFFFF"/>
                <w:sz w:val="20"/>
              </w:rPr>
              <w:t xml:space="preserve">Aislamiento de datos entre empresas   </w:t>
            </w:r>
            <w:r>
              <w:rPr>
                <w:rFonts w:ascii="Arial" w:hAnsi="Arial"/>
                <w:b w:val="0"/>
                <w:color w:val="FFFFFF"/>
                <w:sz w:val="20"/>
              </w:rPr>
              <w:t>[RB-2, NFR-SEG-4, NFR-SEG-8]</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Descripción</w:t>
            </w:r>
          </w:p>
        </w:tc>
        <w:tc>
          <w:tcPr>
            <w:tcW w:type="dxa" w:w="6800"/>
          </w:tcPr>
          <w:p>
            <w:pPr>
              <w:spacing w:line="276" w:lineRule="auto" w:after="20" w:before="20"/>
              <w:jc w:val="left"/>
            </w:pPr>
            <w:r/>
            <w:r>
              <w:rPr>
                <w:rFonts w:ascii="Arial" w:hAnsi="Arial"/>
                <w:b w:val="0"/>
                <w:sz w:val="20"/>
              </w:rPr>
              <w:t>Verificar que un usuario de una empresa no accede a datos de otra manipulando identificadores (IDOR).</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Precondiciones</w:t>
            </w:r>
          </w:p>
        </w:tc>
        <w:tc>
          <w:tcPr>
            <w:tcW w:type="dxa" w:w="6800"/>
          </w:tcPr>
          <w:p>
            <w:pPr>
              <w:spacing w:line="276" w:lineRule="auto" w:after="20" w:before="20"/>
              <w:jc w:val="left"/>
            </w:pPr>
            <w:r/>
            <w:r>
              <w:rPr>
                <w:rFonts w:ascii="Arial" w:hAnsi="Arial"/>
                <w:b w:val="0"/>
                <w:sz w:val="20"/>
              </w:rPr>
              <w:t>Ambiente QA levantado; token de la empresa A y recursos de la empresa B.</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Pasos</w:t>
            </w:r>
          </w:p>
        </w:tc>
        <w:tc>
          <w:tcPr>
            <w:tcW w:type="dxa" w:w="6800"/>
          </w:tcPr>
          <w:p>
            <w:pPr>
              <w:spacing w:line="276" w:lineRule="auto" w:after="20" w:before="20"/>
              <w:jc w:val="left"/>
            </w:pPr>
            <w:r/>
            <w:r>
              <w:rPr>
                <w:rFonts w:ascii="Arial" w:hAnsi="Arial"/>
                <w:b w:val="0"/>
                <w:sz w:val="20"/>
              </w:rPr>
              <w:t>1. Con token de la empresa 101, GET /api/empresas/102/clients.  2. GET /api/clientes/5530.  3. PUT /api/contratos/7700.</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Resultado esperado</w:t>
            </w:r>
          </w:p>
        </w:tc>
        <w:tc>
          <w:tcPr>
            <w:tcW w:type="dxa" w:w="6800"/>
          </w:tcPr>
          <w:p>
            <w:pPr>
              <w:spacing w:line="276" w:lineRule="auto" w:after="20" w:before="20"/>
              <w:jc w:val="left"/>
            </w:pPr>
            <w:r/>
            <w:r>
              <w:rPr>
                <w:rFonts w:ascii="Arial" w:hAnsi="Arial"/>
                <w:b w:val="0"/>
                <w:sz w:val="20"/>
              </w:rPr>
              <w:t>El sistema niega el acceso (403 o 404) y no expone datos de la otra empresa.</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Criterio de aceptación</w:t>
            </w:r>
          </w:p>
        </w:tc>
        <w:tc>
          <w:tcPr>
            <w:tcW w:type="dxa" w:w="6800"/>
          </w:tcPr>
          <w:p>
            <w:pPr>
              <w:spacing w:line="276" w:lineRule="auto" w:after="20" w:before="20"/>
              <w:jc w:val="left"/>
            </w:pPr>
            <w:r/>
            <w:r>
              <w:rPr>
                <w:rFonts w:ascii="Arial" w:hAnsi="Arial"/>
                <w:b w:val="0"/>
                <w:sz w:val="20"/>
              </w:rPr>
              <w:t>Ninguna respuesta entrega RUT ni cuenta bancaria de la empresa B.</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Datos de prueba</w:t>
            </w:r>
          </w:p>
        </w:tc>
        <w:tc>
          <w:tcPr>
            <w:tcW w:type="dxa" w:w="6800"/>
          </w:tcPr>
          <w:p>
            <w:pPr>
              <w:spacing w:line="276" w:lineRule="auto" w:after="20" w:before="20"/>
              <w:jc w:val="left"/>
            </w:pPr>
            <w:r/>
            <w:r>
              <w:rPr>
                <w:rFonts w:ascii="Arial" w:hAnsi="Arial"/>
                <w:b w:val="0"/>
                <w:sz w:val="20"/>
              </w:rPr>
              <w:t>Token admin empresa 101; recursos de la empresa 102.</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Tipo de prueba</w:t>
            </w:r>
          </w:p>
        </w:tc>
        <w:tc>
          <w:tcPr>
            <w:tcW w:type="dxa" w:w="6800"/>
          </w:tcPr>
          <w:p>
            <w:pPr>
              <w:spacing w:line="276" w:lineRule="auto" w:after="20" w:before="20"/>
              <w:jc w:val="left"/>
            </w:pPr>
            <w:r/>
            <w:r>
              <w:rPr>
                <w:rFonts w:ascii="Arial" w:hAnsi="Arial"/>
                <w:b w:val="0"/>
                <w:sz w:val="20"/>
              </w:rPr>
              <w:t>Seguridad / Cumplimiento</w:t>
            </w:r>
          </w:p>
        </w:tc>
      </w:tr>
    </w:tbl>
    <w:p>
      <w:pPr>
        <w:spacing w:after="40"/>
      </w:pPr>
    </w:p>
    <w:tbl>
      <w:tblPr>
        <w:tblStyle w:val="TableGrid"/>
        <w:tblW w:type="auto" w:w="0"/>
        <w:jc w:val="center"/>
        <w:tblLayout w:type="fixed"/>
        <w:tblLook w:firstColumn="1" w:firstRow="1" w:lastColumn="0" w:lastRow="0" w:noHBand="0" w:noVBand="1" w:val="04A0"/>
      </w:tblPr>
      <w:tblGrid>
        <w:gridCol w:w="4320"/>
        <w:gridCol w:w="4320"/>
      </w:tblGrid>
      <w:tr>
        <w:trPr>
          <w:cantSplit w:val="true"/>
        </w:trPr>
        <w:tc>
          <w:tcPr>
            <w:tcW w:type="dxa" w:w="8640"/>
            <w:gridSpan w:val="2"/>
            <w:shd w:val="clear" w:color="auto" w:fill="1F3864"/>
          </w:tcPr>
          <w:p>
            <w:pPr>
              <w:spacing w:line="276" w:lineRule="auto" w:after="20" w:before="20"/>
              <w:jc w:val="left"/>
            </w:pPr>
            <w:r/>
            <w:r>
              <w:rPr>
                <w:rFonts w:ascii="Arial" w:hAnsi="Arial"/>
                <w:b/>
                <w:color w:val="FFFFFF"/>
                <w:sz w:val="20"/>
              </w:rPr>
              <w:t xml:space="preserve">CP-04  —  </w:t>
            </w:r>
            <w:r>
              <w:rPr>
                <w:rFonts w:ascii="Arial" w:hAnsi="Arial"/>
                <w:b/>
                <w:color w:val="FFFFFF"/>
                <w:sz w:val="20"/>
              </w:rPr>
              <w:t xml:space="preserve">Validación de datos de clientes   </w:t>
            </w:r>
            <w:r>
              <w:rPr>
                <w:rFonts w:ascii="Arial" w:hAnsi="Arial"/>
                <w:b w:val="0"/>
                <w:color w:val="FFFFFF"/>
                <w:sz w:val="20"/>
              </w:rPr>
              <w:t>[RF-4.1, RF-4.3, RB-5]</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Descripción</w:t>
            </w:r>
          </w:p>
        </w:tc>
        <w:tc>
          <w:tcPr>
            <w:tcW w:type="dxa" w:w="6800"/>
          </w:tcPr>
          <w:p>
            <w:pPr>
              <w:spacing w:line="276" w:lineRule="auto" w:after="20" w:before="20"/>
              <w:jc w:val="left"/>
            </w:pPr>
            <w:r/>
            <w:r>
              <w:rPr>
                <w:rFonts w:ascii="Arial" w:hAnsi="Arial"/>
                <w:b w:val="0"/>
                <w:sz w:val="20"/>
              </w:rPr>
              <w:t>Confirmar que la creación de clientes acepta datos válidos y rechaza datos mal formados.</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Precondiciones</w:t>
            </w:r>
          </w:p>
        </w:tc>
        <w:tc>
          <w:tcPr>
            <w:tcW w:type="dxa" w:w="6800"/>
          </w:tcPr>
          <w:p>
            <w:pPr>
              <w:spacing w:line="276" w:lineRule="auto" w:after="20" w:before="20"/>
              <w:jc w:val="left"/>
            </w:pPr>
            <w:r/>
            <w:r>
              <w:rPr>
                <w:rFonts w:ascii="Arial" w:hAnsi="Arial"/>
                <w:b w:val="0"/>
                <w:sz w:val="20"/>
              </w:rPr>
              <w:t>Ambiente QA levantado; token de administrador.</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Pasos</w:t>
            </w:r>
          </w:p>
        </w:tc>
        <w:tc>
          <w:tcPr>
            <w:tcW w:type="dxa" w:w="6800"/>
          </w:tcPr>
          <w:p>
            <w:pPr>
              <w:spacing w:line="276" w:lineRule="auto" w:after="20" w:before="20"/>
              <w:jc w:val="left"/>
            </w:pPr>
            <w:r/>
            <w:r>
              <w:rPr>
                <w:rFonts w:ascii="Arial" w:hAnsi="Arial"/>
                <w:b w:val="0"/>
                <w:sz w:val="20"/>
              </w:rPr>
              <w:t>1. POST /api/clientes con datos válidos.  2. POST /api/clientes con RUT y teléfono inválidos.</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Resultado esperado</w:t>
            </w:r>
          </w:p>
        </w:tc>
        <w:tc>
          <w:tcPr>
            <w:tcW w:type="dxa" w:w="6800"/>
          </w:tcPr>
          <w:p>
            <w:pPr>
              <w:spacing w:line="276" w:lineRule="auto" w:after="20" w:before="20"/>
              <w:jc w:val="left"/>
            </w:pPr>
            <w:r/>
            <w:r>
              <w:rPr>
                <w:rFonts w:ascii="Arial" w:hAnsi="Arial"/>
                <w:b w:val="0"/>
                <w:sz w:val="20"/>
              </w:rPr>
              <w:t>HTTP 201 para el cliente válido y HTTP 422 para los datos inválidos.</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Criterio de aceptación</w:t>
            </w:r>
          </w:p>
        </w:tc>
        <w:tc>
          <w:tcPr>
            <w:tcW w:type="dxa" w:w="6800"/>
          </w:tcPr>
          <w:p>
            <w:pPr>
              <w:spacing w:line="276" w:lineRule="auto" w:after="20" w:before="20"/>
              <w:jc w:val="left"/>
            </w:pPr>
            <w:r/>
            <w:r>
              <w:rPr>
                <w:rFonts w:ascii="Arial" w:hAnsi="Arial"/>
                <w:b w:val="0"/>
                <w:sz w:val="20"/>
              </w:rPr>
              <w:t>Creación exitosa y rechazo controlado.</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Datos de prueba</w:t>
            </w:r>
          </w:p>
        </w:tc>
        <w:tc>
          <w:tcPr>
            <w:tcW w:type="dxa" w:w="6800"/>
          </w:tcPr>
          <w:p>
            <w:pPr>
              <w:spacing w:line="276" w:lineRule="auto" w:after="20" w:before="20"/>
              <w:jc w:val="left"/>
            </w:pPr>
            <w:r/>
            <w:r>
              <w:rPr>
                <w:rFonts w:ascii="Arial" w:hAnsi="Arial"/>
                <w:b w:val="0"/>
                <w:sz w:val="20"/>
              </w:rPr>
              <w:t>RUT 76.123.456-0 (válido); RUT 12.345.678-X y teléfono 98ab76 (inválidos).</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Tipo de prueba</w:t>
            </w:r>
          </w:p>
        </w:tc>
        <w:tc>
          <w:tcPr>
            <w:tcW w:type="dxa" w:w="6800"/>
          </w:tcPr>
          <w:p>
            <w:pPr>
              <w:spacing w:line="276" w:lineRule="auto" w:after="20" w:before="20"/>
              <w:jc w:val="left"/>
            </w:pPr>
            <w:r/>
            <w:r>
              <w:rPr>
                <w:rFonts w:ascii="Arial" w:hAnsi="Arial"/>
                <w:b w:val="0"/>
                <w:sz w:val="20"/>
              </w:rPr>
              <w:t>Funcional</w:t>
            </w:r>
          </w:p>
        </w:tc>
      </w:tr>
    </w:tbl>
    <w:p>
      <w:pPr>
        <w:spacing w:after="40"/>
      </w:pPr>
    </w:p>
    <w:tbl>
      <w:tblPr>
        <w:tblStyle w:val="TableGrid"/>
        <w:tblW w:type="auto" w:w="0"/>
        <w:jc w:val="center"/>
        <w:tblLayout w:type="fixed"/>
        <w:tblLook w:firstColumn="1" w:firstRow="1" w:lastColumn="0" w:lastRow="0" w:noHBand="0" w:noVBand="1" w:val="04A0"/>
      </w:tblPr>
      <w:tblGrid>
        <w:gridCol w:w="4320"/>
        <w:gridCol w:w="4320"/>
      </w:tblGrid>
      <w:tr>
        <w:trPr>
          <w:cantSplit w:val="true"/>
        </w:trPr>
        <w:tc>
          <w:tcPr>
            <w:tcW w:type="dxa" w:w="8640"/>
            <w:gridSpan w:val="2"/>
            <w:shd w:val="clear" w:color="auto" w:fill="1F3864"/>
          </w:tcPr>
          <w:p>
            <w:pPr>
              <w:spacing w:line="276" w:lineRule="auto" w:after="20" w:before="20"/>
              <w:jc w:val="left"/>
            </w:pPr>
            <w:r/>
            <w:r>
              <w:rPr>
                <w:rFonts w:ascii="Arial" w:hAnsi="Arial"/>
                <w:b/>
                <w:color w:val="FFFFFF"/>
                <w:sz w:val="20"/>
              </w:rPr>
              <w:t xml:space="preserve">CP-06  —  </w:t>
            </w:r>
            <w:r>
              <w:rPr>
                <w:rFonts w:ascii="Arial" w:hAnsi="Arial"/>
                <w:b/>
                <w:color w:val="FFFFFF"/>
                <w:sz w:val="20"/>
              </w:rPr>
              <w:t xml:space="preserve">Protección contra inyección, XSS y CSRF   </w:t>
            </w:r>
            <w:r>
              <w:rPr>
                <w:rFonts w:ascii="Arial" w:hAnsi="Arial"/>
                <w:b w:val="0"/>
                <w:color w:val="FFFFFF"/>
                <w:sz w:val="20"/>
              </w:rPr>
              <w:t>[RF-4.3, NFR-SEG-5]</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Descripción</w:t>
            </w:r>
          </w:p>
        </w:tc>
        <w:tc>
          <w:tcPr>
            <w:tcW w:type="dxa" w:w="6800"/>
          </w:tcPr>
          <w:p>
            <w:pPr>
              <w:spacing w:line="276" w:lineRule="auto" w:after="20" w:before="20"/>
              <w:jc w:val="left"/>
            </w:pPr>
            <w:r/>
            <w:r>
              <w:rPr>
                <w:rFonts w:ascii="Arial" w:hAnsi="Arial"/>
                <w:b w:val="0"/>
                <w:sz w:val="20"/>
              </w:rPr>
              <w:t>Evaluar la resistencia de la API a inyección SQL, XSS almacenado y peticiones de otro origen.</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Precondiciones</w:t>
            </w:r>
          </w:p>
        </w:tc>
        <w:tc>
          <w:tcPr>
            <w:tcW w:type="dxa" w:w="6800"/>
          </w:tcPr>
          <w:p>
            <w:pPr>
              <w:spacing w:line="276" w:lineRule="auto" w:after="20" w:before="20"/>
              <w:jc w:val="left"/>
            </w:pPr>
            <w:r/>
            <w:r>
              <w:rPr>
                <w:rFonts w:ascii="Arial" w:hAnsi="Arial"/>
                <w:b w:val="0"/>
                <w:sz w:val="20"/>
              </w:rPr>
              <w:t>Ambiente QA levantado; token de administrador.</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Pasos</w:t>
            </w:r>
          </w:p>
        </w:tc>
        <w:tc>
          <w:tcPr>
            <w:tcW w:type="dxa" w:w="6800"/>
          </w:tcPr>
          <w:p>
            <w:pPr>
              <w:spacing w:line="276" w:lineRule="auto" w:after="20" w:before="20"/>
              <w:jc w:val="left"/>
            </w:pPr>
            <w:r/>
            <w:r>
              <w:rPr>
                <w:rFonts w:ascii="Arial" w:hAnsi="Arial"/>
                <w:b w:val="0"/>
                <w:sz w:val="20"/>
              </w:rPr>
              <w:t>1. SQLi en login y en el filtro de clientes.  2. XSS en la descripción del cliente.  3. PUT desde un origen externo.</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Resultado esperado</w:t>
            </w:r>
          </w:p>
        </w:tc>
        <w:tc>
          <w:tcPr>
            <w:tcW w:type="dxa" w:w="6800"/>
          </w:tcPr>
          <w:p>
            <w:pPr>
              <w:spacing w:line="276" w:lineRule="auto" w:after="20" w:before="20"/>
              <w:jc w:val="left"/>
            </w:pPr>
            <w:r/>
            <w:r>
              <w:rPr>
                <w:rFonts w:ascii="Arial" w:hAnsi="Arial"/>
                <w:b w:val="0"/>
                <w:sz w:val="20"/>
              </w:rPr>
              <w:t>La inyección no da acceso ni filtra datos; la entrada se sanea o escapa y existe cabecera CSP; la petición de otro origen se rechaza (401/403).</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Criterio de aceptación</w:t>
            </w:r>
          </w:p>
        </w:tc>
        <w:tc>
          <w:tcPr>
            <w:tcW w:type="dxa" w:w="6800"/>
          </w:tcPr>
          <w:p>
            <w:pPr>
              <w:spacing w:line="276" w:lineRule="auto" w:after="20" w:before="20"/>
              <w:jc w:val="left"/>
            </w:pPr>
            <w:r/>
            <w:r>
              <w:rPr>
                <w:rFonts w:ascii="Arial" w:hAnsi="Arial"/>
                <w:b w:val="0"/>
                <w:sz w:val="20"/>
              </w:rPr>
              <w:t>Sin acceso por SQLi, sin script sin escapar y con CSRF bloqueado.</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Datos de prueba</w:t>
            </w:r>
          </w:p>
        </w:tc>
        <w:tc>
          <w:tcPr>
            <w:tcW w:type="dxa" w:w="6800"/>
          </w:tcPr>
          <w:p>
            <w:pPr>
              <w:spacing w:line="276" w:lineRule="auto" w:after="20" w:before="20"/>
              <w:jc w:val="left"/>
            </w:pPr>
            <w:r/>
            <w:r>
              <w:rPr>
                <w:rFonts w:ascii="Arial" w:hAnsi="Arial"/>
                <w:b w:val="0"/>
                <w:sz w:val="20"/>
              </w:rPr>
              <w:t>Payloads de SQLi, XSS y cabecera Origin externa.</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Tipo de prueba</w:t>
            </w:r>
          </w:p>
        </w:tc>
        <w:tc>
          <w:tcPr>
            <w:tcW w:type="dxa" w:w="6800"/>
          </w:tcPr>
          <w:p>
            <w:pPr>
              <w:spacing w:line="276" w:lineRule="auto" w:after="20" w:before="20"/>
              <w:jc w:val="left"/>
            </w:pPr>
            <w:r/>
            <w:r>
              <w:rPr>
                <w:rFonts w:ascii="Arial" w:hAnsi="Arial"/>
                <w:b w:val="0"/>
                <w:sz w:val="20"/>
              </w:rPr>
              <w:t>Seguridad (SAST/DAST)</w:t>
            </w:r>
          </w:p>
        </w:tc>
      </w:tr>
    </w:tbl>
    <w:p>
      <w:pPr>
        <w:spacing w:after="40"/>
      </w:pPr>
    </w:p>
    <w:tbl>
      <w:tblPr>
        <w:tblStyle w:val="TableGrid"/>
        <w:tblW w:type="auto" w:w="0"/>
        <w:jc w:val="center"/>
        <w:tblLayout w:type="fixed"/>
        <w:tblLook w:firstColumn="1" w:firstRow="1" w:lastColumn="0" w:lastRow="0" w:noHBand="0" w:noVBand="1" w:val="04A0"/>
      </w:tblPr>
      <w:tblGrid>
        <w:gridCol w:w="4320"/>
        <w:gridCol w:w="4320"/>
      </w:tblGrid>
      <w:tr>
        <w:trPr>
          <w:cantSplit w:val="true"/>
        </w:trPr>
        <w:tc>
          <w:tcPr>
            <w:tcW w:type="dxa" w:w="8640"/>
            <w:gridSpan w:val="2"/>
            <w:shd w:val="clear" w:color="auto" w:fill="1F3864"/>
          </w:tcPr>
          <w:p>
            <w:pPr>
              <w:spacing w:line="276" w:lineRule="auto" w:after="20" w:before="20"/>
              <w:jc w:val="left"/>
            </w:pPr>
            <w:r/>
            <w:r>
              <w:rPr>
                <w:rFonts w:ascii="Arial" w:hAnsi="Arial"/>
                <w:b/>
                <w:color w:val="FFFFFF"/>
                <w:sz w:val="20"/>
              </w:rPr>
              <w:t xml:space="preserve">CP-07  —  </w:t>
            </w:r>
            <w:r>
              <w:rPr>
                <w:rFonts w:ascii="Arial" w:hAnsi="Arial"/>
                <w:b/>
                <w:color w:val="FFFFFF"/>
                <w:sz w:val="20"/>
              </w:rPr>
              <w:t xml:space="preserve">Resiliencia de contenedores bajo carga   </w:t>
            </w:r>
            <w:r>
              <w:rPr>
                <w:rFonts w:ascii="Arial" w:hAnsi="Arial"/>
                <w:b w:val="0"/>
                <w:color w:val="FFFFFF"/>
                <w:sz w:val="20"/>
              </w:rPr>
              <w:t>[NFR-PERF-1, NFR-PERF-3, NFR-DIS-1]</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Descripción</w:t>
            </w:r>
          </w:p>
        </w:tc>
        <w:tc>
          <w:tcPr>
            <w:tcW w:type="dxa" w:w="6800"/>
          </w:tcPr>
          <w:p>
            <w:pPr>
              <w:spacing w:line="276" w:lineRule="auto" w:after="20" w:before="20"/>
              <w:jc w:val="left"/>
            </w:pPr>
            <w:r/>
            <w:r>
              <w:rPr>
                <w:rFonts w:ascii="Arial" w:hAnsi="Arial"/>
                <w:b w:val="0"/>
                <w:sz w:val="20"/>
              </w:rPr>
              <w:t>Verificar que la plataforma se mantiene estable ante carga concurrente.</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Precondiciones</w:t>
            </w:r>
          </w:p>
        </w:tc>
        <w:tc>
          <w:tcPr>
            <w:tcW w:type="dxa" w:w="6800"/>
          </w:tcPr>
          <w:p>
            <w:pPr>
              <w:spacing w:line="276" w:lineRule="auto" w:after="20" w:before="20"/>
              <w:jc w:val="left"/>
            </w:pPr>
            <w:r/>
            <w:r>
              <w:rPr>
                <w:rFonts w:ascii="Arial" w:hAnsi="Arial"/>
                <w:b w:val="0"/>
                <w:sz w:val="20"/>
              </w:rPr>
              <w:t>Ambiente QA levantado; token de administrador.</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Pasos</w:t>
            </w:r>
          </w:p>
        </w:tc>
        <w:tc>
          <w:tcPr>
            <w:tcW w:type="dxa" w:w="6800"/>
          </w:tcPr>
          <w:p>
            <w:pPr>
              <w:spacing w:line="276" w:lineRule="auto" w:after="20" w:before="20"/>
              <w:jc w:val="left"/>
            </w:pPr>
            <w:r/>
            <w:r>
              <w:rPr>
                <w:rFonts w:ascii="Arial" w:hAnsi="Arial"/>
                <w:b w:val="0"/>
                <w:sz w:val="20"/>
              </w:rPr>
              <w:t>1. Lanzar peticiones GET concurrentes a un endpoint de lectura.  2. Medir recursos con docker stats.</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Resultado esperado</w:t>
            </w:r>
          </w:p>
        </w:tc>
        <w:tc>
          <w:tcPr>
            <w:tcW w:type="dxa" w:w="6800"/>
          </w:tcPr>
          <w:p>
            <w:pPr>
              <w:spacing w:line="276" w:lineRule="auto" w:after="20" w:before="20"/>
              <w:jc w:val="left"/>
            </w:pPr>
            <w:r/>
            <w:r>
              <w:rPr>
                <w:rFonts w:ascii="Arial" w:hAnsi="Arial"/>
                <w:b w:val="0"/>
                <w:sz w:val="20"/>
              </w:rPr>
              <w:t>Todas las peticiones responden correctamente, sin reinicios ni fuga de memoria.</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Criterio de aceptación</w:t>
            </w:r>
          </w:p>
        </w:tc>
        <w:tc>
          <w:tcPr>
            <w:tcW w:type="dxa" w:w="6800"/>
          </w:tcPr>
          <w:p>
            <w:pPr>
              <w:spacing w:line="276" w:lineRule="auto" w:after="20" w:before="20"/>
              <w:jc w:val="left"/>
            </w:pPr>
            <w:r/>
            <w:r>
              <w:rPr>
                <w:rFonts w:ascii="Arial" w:hAnsi="Arial"/>
                <w:b w:val="0"/>
                <w:sz w:val="20"/>
              </w:rPr>
              <w:t>Contenedores sanos y memoria estable.</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Datos de prueba</w:t>
            </w:r>
          </w:p>
        </w:tc>
        <w:tc>
          <w:tcPr>
            <w:tcW w:type="dxa" w:w="6800"/>
          </w:tcPr>
          <w:p>
            <w:pPr>
              <w:spacing w:line="276" w:lineRule="auto" w:after="20" w:before="20"/>
              <w:jc w:val="left"/>
            </w:pPr>
            <w:r/>
            <w:r>
              <w:rPr>
                <w:rFonts w:ascii="Arial" w:hAnsi="Arial"/>
                <w:b w:val="0"/>
                <w:sz w:val="20"/>
              </w:rPr>
              <w:t>200 peticiones GET concurrentes a /api/clientes.</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Tipo de prueba</w:t>
            </w:r>
          </w:p>
        </w:tc>
        <w:tc>
          <w:tcPr>
            <w:tcW w:type="dxa" w:w="6800"/>
          </w:tcPr>
          <w:p>
            <w:pPr>
              <w:spacing w:line="276" w:lineRule="auto" w:after="20" w:before="20"/>
              <w:jc w:val="left"/>
            </w:pPr>
            <w:r/>
            <w:r>
              <w:rPr>
                <w:rFonts w:ascii="Arial" w:hAnsi="Arial"/>
                <w:b w:val="0"/>
                <w:sz w:val="20"/>
              </w:rPr>
              <w:t>No funcional (rendimiento)</w:t>
            </w:r>
          </w:p>
        </w:tc>
      </w:tr>
    </w:tbl>
    <w:p>
      <w:pPr>
        <w:spacing w:after="40"/>
      </w:pPr>
    </w:p>
    <w:p>
      <w:pPr>
        <w:pStyle w:val="Heading1"/>
      </w:pPr>
      <w:r>
        <w:t>5. Ejecución de pruebas</w:t>
      </w:r>
    </w:p>
    <w:p>
      <w:pPr>
        <w:pStyle w:val="Heading2"/>
      </w:pPr>
      <w:r>
        <w:t>5.1 Resumen de ejecución</w:t>
      </w:r>
    </w:p>
    <w:p>
      <w:pPr>
        <w:jc w:val="both"/>
      </w:pPr>
      <w:r>
        <w:t>Se diseñaron y ejecutaron seis casos representativos que cubren los tipos funcional, de seguridad y no funcional, con una ejecución del 100%. Cuatro casos resultaron en estado de PASE (CP-01, CP-02, CP-04 y CP-07) y dos registraron FALLO (CP-03 y CP-06), con hallazgos de criticidad Crítica y Grave respectivamente. La ejecución de la colección de API arrojó 25 aserciones, de las cuales 7 fallaron, concentradas en los dos casos con hallazgo.</w:t>
      </w:r>
    </w:p>
    <w:p>
      <w:pPr>
        <w:spacing w:before="80" w:after="160"/>
        <w:jc w:val="center"/>
      </w:pPr>
      <w:r>
        <w:drawing>
          <wp:inline xmlns:a="http://schemas.openxmlformats.org/drawingml/2006/main" xmlns:pic="http://schemas.openxmlformats.org/drawingml/2006/picture">
            <wp:extent cx="5394960" cy="561001"/>
            <wp:docPr id="2" name="Picture 2"/>
            <wp:cNvGraphicFramePr>
              <a:graphicFrameLocks noChangeAspect="1"/>
            </wp:cNvGraphicFramePr>
            <a:graphic>
              <a:graphicData uri="http://schemas.openxmlformats.org/drawingml/2006/picture">
                <pic:pic>
                  <pic:nvPicPr>
                    <pic:cNvPr id="0" name="ev01_entorno.png"/>
                    <pic:cNvPicPr/>
                  </pic:nvPicPr>
                  <pic:blipFill>
                    <a:blip r:embed="rId10"/>
                    <a:stretch>
                      <a:fillRect/>
                    </a:stretch>
                  </pic:blipFill>
                  <pic:spPr>
                    <a:xfrm>
                      <a:off x="0" y="0"/>
                      <a:ext cx="5394960" cy="561001"/>
                    </a:xfrm>
                    <a:prstGeom prst="rect"/>
                  </pic:spPr>
                </pic:pic>
              </a:graphicData>
            </a:graphic>
          </wp:inline>
        </w:drawing>
      </w:r>
    </w:p>
    <w:p>
      <w:pPr>
        <w:spacing w:before="80" w:after="160"/>
        <w:jc w:val="center"/>
      </w:pPr>
      <w:r>
        <w:drawing>
          <wp:inline xmlns:a="http://schemas.openxmlformats.org/drawingml/2006/main" xmlns:pic="http://schemas.openxmlformats.org/drawingml/2006/picture">
            <wp:extent cx="5394960" cy="2317298"/>
            <wp:docPr id="3" name="Picture 3"/>
            <wp:cNvGraphicFramePr>
              <a:graphicFrameLocks noChangeAspect="1"/>
            </wp:cNvGraphicFramePr>
            <a:graphic>
              <a:graphicData uri="http://schemas.openxmlformats.org/drawingml/2006/picture">
                <pic:pic>
                  <pic:nvPicPr>
                    <pic:cNvPr id="0" name="ev08_resumen.png"/>
                    <pic:cNvPicPr/>
                  </pic:nvPicPr>
                  <pic:blipFill>
                    <a:blip r:embed="rId11"/>
                    <a:stretch>
                      <a:fillRect/>
                    </a:stretch>
                  </pic:blipFill>
                  <pic:spPr>
                    <a:xfrm>
                      <a:off x="0" y="0"/>
                      <a:ext cx="5394960" cy="2317298"/>
                    </a:xfrm>
                    <a:prstGeom prst="rect"/>
                  </pic:spPr>
                </pic:pic>
              </a:graphicData>
            </a:graphic>
          </wp:inline>
        </w:drawing>
      </w:r>
    </w:p>
    <w:p>
      <w:pPr>
        <w:pStyle w:val="Heading2"/>
      </w:pPr>
      <w:r>
        <w:t>5.2 Detalle de ejecución de casos</w:t>
      </w:r>
    </w:p>
    <w:p>
      <w:pPr>
        <w:jc w:val="both"/>
      </w:pPr>
      <w:r>
        <w:t>El detalle registra, por caso, el resultado, la evidencia de la ejecución, el incidente reportado cuando corresponde, y la fecha y responsables. La ejecución la realizó el Grupo 15 (Elías Delgado Manríquez y Rolando Aldana) el 29 de octubre de 2026.</w:t>
      </w:r>
    </w:p>
    <w:tbl>
      <w:tblPr>
        <w:tblStyle w:val="TableGrid"/>
        <w:tblW w:type="auto" w:w="0"/>
        <w:jc w:val="center"/>
        <w:tblLayout w:type="fixed"/>
        <w:tblLook w:firstColumn="1" w:firstRow="1" w:lastColumn="0" w:lastRow="0" w:noHBand="0" w:noVBand="1" w:val="04A0"/>
      </w:tblPr>
      <w:tblGrid>
        <w:gridCol w:w="4320"/>
        <w:gridCol w:w="4320"/>
      </w:tblGrid>
      <w:tr>
        <w:trPr>
          <w:cantSplit w:val="true"/>
        </w:trPr>
        <w:tc>
          <w:tcPr>
            <w:tcW w:type="dxa" w:w="8640"/>
            <w:gridSpan w:val="2"/>
            <w:shd w:val="clear" w:color="auto" w:fill="1F3864"/>
          </w:tcPr>
          <w:p>
            <w:pPr>
              <w:spacing w:line="276" w:lineRule="auto" w:after="20" w:before="20"/>
              <w:jc w:val="left"/>
            </w:pPr>
            <w:r/>
            <w:r>
              <w:rPr>
                <w:rFonts w:ascii="Arial" w:hAnsi="Arial"/>
                <w:b/>
                <w:color w:val="FFFFFF"/>
                <w:sz w:val="20"/>
              </w:rPr>
              <w:t xml:space="preserve">CP-01  —  </w:t>
            </w:r>
            <w:r>
              <w:rPr>
                <w:rFonts w:ascii="Arial" w:hAnsi="Arial"/>
                <w:b/>
                <w:color w:val="FFFFFF"/>
                <w:sz w:val="20"/>
              </w:rPr>
              <w:t>Inicio de sesión y protección del token</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Resultado</w:t>
            </w:r>
          </w:p>
        </w:tc>
        <w:tc>
          <w:tcPr>
            <w:tcW w:type="dxa" w:w="6800"/>
          </w:tcPr>
          <w:p>
            <w:pPr>
              <w:spacing w:line="276" w:lineRule="auto" w:after="20" w:before="20"/>
              <w:jc w:val="left"/>
            </w:pPr>
            <w:r/>
            <w:r>
              <w:rPr>
                <w:rFonts w:ascii="Arial" w:hAnsi="Arial"/>
                <w:b/>
                <w:color w:val="1E7D32"/>
                <w:sz w:val="20"/>
              </w:rPr>
              <w:t xml:space="preserve">PASE      </w:t>
            </w:r>
            <w:r>
              <w:rPr>
                <w:rFonts w:ascii="Arial" w:hAnsi="Arial"/>
                <w:b w:val="0"/>
                <w:color w:val="404040"/>
                <w:sz w:val="20"/>
              </w:rPr>
              <w:t>Tipo: Funcional / Seguridad</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Detalle</w:t>
            </w:r>
          </w:p>
        </w:tc>
        <w:tc>
          <w:tcPr>
            <w:tcW w:type="dxa" w:w="6800"/>
          </w:tcPr>
          <w:p>
            <w:pPr>
              <w:spacing w:line="276" w:lineRule="auto" w:after="20" w:before="20"/>
              <w:jc w:val="left"/>
            </w:pPr>
            <w:r/>
            <w:r>
              <w:rPr>
                <w:rFonts w:ascii="Arial" w:hAnsi="Arial"/>
                <w:b w:val="0"/>
                <w:sz w:val="20"/>
              </w:rPr>
              <w:t>HTTP 200 sobre HTTPS; JWT con vigencia de 900 s y refresh token; el payload no expone contraseña ni hash.</w:t>
            </w:r>
          </w:p>
        </w:tc>
      </w:tr>
      <w:tr>
        <w:tc>
          <w:tcPr>
            <w:tcW w:type="dxa" w:w="8640"/>
            <w:gridSpan w:val="2"/>
          </w:tcPr>
          <w:p>
            <w:pPr>
              <w:spacing w:after="40"/>
              <w:jc w:val="left"/>
            </w:pPr>
            <w:r>
              <w:rPr>
                <w:rFonts w:ascii="Arial" w:hAnsi="Arial"/>
                <w:b/>
                <w:color w:val="1F3864"/>
                <w:sz w:val="20"/>
              </w:rPr>
              <w:t>Evidencia</w:t>
            </w:r>
          </w:p>
          <w:p>
            <w:pPr>
              <w:spacing w:before="40" w:after="40"/>
              <w:jc w:val="center"/>
            </w:pPr>
            <w:r>
              <w:drawing>
                <wp:inline xmlns:a="http://schemas.openxmlformats.org/drawingml/2006/main" xmlns:pic="http://schemas.openxmlformats.org/drawingml/2006/picture">
                  <wp:extent cx="5212080" cy="1368488"/>
                  <wp:docPr id="4" name="Picture 4"/>
                  <wp:cNvGraphicFramePr>
                    <a:graphicFrameLocks noChangeAspect="1"/>
                  </wp:cNvGraphicFramePr>
                  <a:graphic>
                    <a:graphicData uri="http://schemas.openxmlformats.org/drawingml/2006/picture">
                      <pic:pic>
                        <pic:nvPicPr>
                          <pic:cNvPr id="0" name="ev02_cp01.png"/>
                          <pic:cNvPicPr/>
                        </pic:nvPicPr>
                        <pic:blipFill>
                          <a:blip r:embed="rId12"/>
                          <a:stretch>
                            <a:fillRect/>
                          </a:stretch>
                        </pic:blipFill>
                        <pic:spPr>
                          <a:xfrm>
                            <a:off x="0" y="0"/>
                            <a:ext cx="5212080" cy="1368488"/>
                          </a:xfrm>
                          <a:prstGeom prst="rect"/>
                        </pic:spPr>
                      </pic:pic>
                    </a:graphicData>
                  </a:graphic>
                </wp:inline>
              </w:drawing>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Incidente</w:t>
            </w:r>
          </w:p>
        </w:tc>
        <w:tc>
          <w:tcPr>
            <w:tcW w:type="dxa" w:w="6800"/>
          </w:tcPr>
          <w:p>
            <w:pPr>
              <w:spacing w:line="276" w:lineRule="auto" w:after="20" w:before="20"/>
              <w:jc w:val="left"/>
            </w:pPr>
            <w:r/>
            <w:r>
              <w:rPr>
                <w:rFonts w:ascii="Arial" w:hAnsi="Arial"/>
                <w:b w:val="0"/>
                <w:color w:val="404040"/>
                <w:sz w:val="20"/>
              </w:rPr>
              <w:t>—</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Fecha / ejecutó</w:t>
            </w:r>
          </w:p>
        </w:tc>
        <w:tc>
          <w:tcPr>
            <w:tcW w:type="dxa" w:w="6800"/>
          </w:tcPr>
          <w:p>
            <w:pPr>
              <w:spacing w:line="276" w:lineRule="auto" w:after="20" w:before="20"/>
              <w:jc w:val="left"/>
            </w:pPr>
            <w:r/>
            <w:r>
              <w:rPr>
                <w:rFonts w:ascii="Arial" w:hAnsi="Arial"/>
                <w:b w:val="0"/>
                <w:sz w:val="20"/>
              </w:rPr>
              <w:t>29-10-2026 · Grupo 15</w:t>
            </w:r>
          </w:p>
        </w:tc>
      </w:tr>
    </w:tbl>
    <w:p>
      <w:pPr>
        <w:spacing w:after="40"/>
      </w:pPr>
    </w:p>
    <w:tbl>
      <w:tblPr>
        <w:tblStyle w:val="TableGrid"/>
        <w:tblW w:type="auto" w:w="0"/>
        <w:jc w:val="center"/>
        <w:tblLayout w:type="fixed"/>
        <w:tblLook w:firstColumn="1" w:firstRow="1" w:lastColumn="0" w:lastRow="0" w:noHBand="0" w:noVBand="1" w:val="04A0"/>
      </w:tblPr>
      <w:tblGrid>
        <w:gridCol w:w="4320"/>
        <w:gridCol w:w="4320"/>
      </w:tblGrid>
      <w:tr>
        <w:trPr>
          <w:cantSplit w:val="true"/>
        </w:trPr>
        <w:tc>
          <w:tcPr>
            <w:tcW w:type="dxa" w:w="8640"/>
            <w:gridSpan w:val="2"/>
            <w:shd w:val="clear" w:color="auto" w:fill="1F3864"/>
          </w:tcPr>
          <w:p>
            <w:pPr>
              <w:spacing w:line="276" w:lineRule="auto" w:after="20" w:before="20"/>
              <w:jc w:val="left"/>
            </w:pPr>
            <w:r/>
            <w:r>
              <w:rPr>
                <w:rFonts w:ascii="Arial" w:hAnsi="Arial"/>
                <w:b/>
                <w:color w:val="FFFFFF"/>
                <w:sz w:val="20"/>
              </w:rPr>
              <w:t xml:space="preserve">CP-02  —  </w:t>
            </w:r>
            <w:r>
              <w:rPr>
                <w:rFonts w:ascii="Arial" w:hAnsi="Arial"/>
                <w:b/>
                <w:color w:val="FFFFFF"/>
                <w:sz w:val="20"/>
              </w:rPr>
              <w:t>Rol editor sin permisos de escritura</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Resultado</w:t>
            </w:r>
          </w:p>
        </w:tc>
        <w:tc>
          <w:tcPr>
            <w:tcW w:type="dxa" w:w="6800"/>
          </w:tcPr>
          <w:p>
            <w:pPr>
              <w:spacing w:line="276" w:lineRule="auto" w:after="20" w:before="20"/>
              <w:jc w:val="left"/>
            </w:pPr>
            <w:r/>
            <w:r>
              <w:rPr>
                <w:rFonts w:ascii="Arial" w:hAnsi="Arial"/>
                <w:b/>
                <w:color w:val="1E7D32"/>
                <w:sz w:val="20"/>
              </w:rPr>
              <w:t xml:space="preserve">PASE      </w:t>
            </w:r>
            <w:r>
              <w:rPr>
                <w:rFonts w:ascii="Arial" w:hAnsi="Arial"/>
                <w:b w:val="0"/>
                <w:color w:val="404040"/>
                <w:sz w:val="20"/>
              </w:rPr>
              <w:t>Tipo: Seguridad (control de acceso)</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Detalle</w:t>
            </w:r>
          </w:p>
        </w:tc>
        <w:tc>
          <w:tcPr>
            <w:tcW w:type="dxa" w:w="6800"/>
          </w:tcPr>
          <w:p>
            <w:pPr>
              <w:spacing w:line="276" w:lineRule="auto" w:after="20" w:before="20"/>
              <w:jc w:val="left"/>
            </w:pPr>
            <w:r/>
            <w:r>
              <w:rPr>
                <w:rFonts w:ascii="Arial" w:hAnsi="Arial"/>
                <w:b w:val="0"/>
                <w:sz w:val="20"/>
              </w:rPr>
              <w:t>Las operaciones de creación, edición y eliminación del editor responden 403 Forbidden.</w:t>
            </w:r>
          </w:p>
        </w:tc>
      </w:tr>
      <w:tr>
        <w:tc>
          <w:tcPr>
            <w:tcW w:type="dxa" w:w="8640"/>
            <w:gridSpan w:val="2"/>
          </w:tcPr>
          <w:p>
            <w:pPr>
              <w:spacing w:after="40"/>
              <w:jc w:val="left"/>
            </w:pPr>
            <w:r>
              <w:rPr>
                <w:rFonts w:ascii="Arial" w:hAnsi="Arial"/>
                <w:b/>
                <w:color w:val="1F3864"/>
                <w:sz w:val="20"/>
              </w:rPr>
              <w:t>Evidencia</w:t>
            </w:r>
          </w:p>
          <w:p>
            <w:pPr>
              <w:spacing w:before="40" w:after="40"/>
              <w:jc w:val="center"/>
            </w:pPr>
            <w:r>
              <w:drawing>
                <wp:inline xmlns:a="http://schemas.openxmlformats.org/drawingml/2006/main" xmlns:pic="http://schemas.openxmlformats.org/drawingml/2006/picture">
                  <wp:extent cx="5212080" cy="1607132"/>
                  <wp:docPr id="5" name="Picture 5"/>
                  <wp:cNvGraphicFramePr>
                    <a:graphicFrameLocks noChangeAspect="1"/>
                  </wp:cNvGraphicFramePr>
                  <a:graphic>
                    <a:graphicData uri="http://schemas.openxmlformats.org/drawingml/2006/picture">
                      <pic:pic>
                        <pic:nvPicPr>
                          <pic:cNvPr id="0" name="ev03_cp02.png"/>
                          <pic:cNvPicPr/>
                        </pic:nvPicPr>
                        <pic:blipFill>
                          <a:blip r:embed="rId13"/>
                          <a:stretch>
                            <a:fillRect/>
                          </a:stretch>
                        </pic:blipFill>
                        <pic:spPr>
                          <a:xfrm>
                            <a:off x="0" y="0"/>
                            <a:ext cx="5212080" cy="1607132"/>
                          </a:xfrm>
                          <a:prstGeom prst="rect"/>
                        </pic:spPr>
                      </pic:pic>
                    </a:graphicData>
                  </a:graphic>
                </wp:inline>
              </w:drawing>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Incidente</w:t>
            </w:r>
          </w:p>
        </w:tc>
        <w:tc>
          <w:tcPr>
            <w:tcW w:type="dxa" w:w="6800"/>
          </w:tcPr>
          <w:p>
            <w:pPr>
              <w:spacing w:line="276" w:lineRule="auto" w:after="20" w:before="20"/>
              <w:jc w:val="left"/>
            </w:pPr>
            <w:r/>
            <w:r>
              <w:rPr>
                <w:rFonts w:ascii="Arial" w:hAnsi="Arial"/>
                <w:b w:val="0"/>
                <w:color w:val="404040"/>
                <w:sz w:val="20"/>
              </w:rPr>
              <w:t>—</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Fecha / ejecutó</w:t>
            </w:r>
          </w:p>
        </w:tc>
        <w:tc>
          <w:tcPr>
            <w:tcW w:type="dxa" w:w="6800"/>
          </w:tcPr>
          <w:p>
            <w:pPr>
              <w:spacing w:line="276" w:lineRule="auto" w:after="20" w:before="20"/>
              <w:jc w:val="left"/>
            </w:pPr>
            <w:r/>
            <w:r>
              <w:rPr>
                <w:rFonts w:ascii="Arial" w:hAnsi="Arial"/>
                <w:b w:val="0"/>
                <w:sz w:val="20"/>
              </w:rPr>
              <w:t>29-10-2026 · Grupo 15</w:t>
            </w:r>
          </w:p>
        </w:tc>
      </w:tr>
    </w:tbl>
    <w:p>
      <w:pPr>
        <w:spacing w:after="40"/>
      </w:pPr>
    </w:p>
    <w:tbl>
      <w:tblPr>
        <w:tblStyle w:val="TableGrid"/>
        <w:tblW w:type="auto" w:w="0"/>
        <w:jc w:val="center"/>
        <w:tblLayout w:type="fixed"/>
        <w:tblLook w:firstColumn="1" w:firstRow="1" w:lastColumn="0" w:lastRow="0" w:noHBand="0" w:noVBand="1" w:val="04A0"/>
      </w:tblPr>
      <w:tblGrid>
        <w:gridCol w:w="4320"/>
        <w:gridCol w:w="4320"/>
      </w:tblGrid>
      <w:tr>
        <w:trPr>
          <w:cantSplit w:val="true"/>
        </w:trPr>
        <w:tc>
          <w:tcPr>
            <w:tcW w:type="dxa" w:w="8640"/>
            <w:gridSpan w:val="2"/>
            <w:shd w:val="clear" w:color="auto" w:fill="1F3864"/>
          </w:tcPr>
          <w:p>
            <w:pPr>
              <w:spacing w:line="276" w:lineRule="auto" w:after="20" w:before="20"/>
              <w:jc w:val="left"/>
            </w:pPr>
            <w:r/>
            <w:r>
              <w:rPr>
                <w:rFonts w:ascii="Arial" w:hAnsi="Arial"/>
                <w:b/>
                <w:color w:val="FFFFFF"/>
                <w:sz w:val="20"/>
              </w:rPr>
              <w:t xml:space="preserve">CP-03  —  </w:t>
            </w:r>
            <w:r>
              <w:rPr>
                <w:rFonts w:ascii="Arial" w:hAnsi="Arial"/>
                <w:b/>
                <w:color w:val="FFFFFF"/>
                <w:sz w:val="20"/>
              </w:rPr>
              <w:t>Aislamiento de datos entre empresas</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Resultado</w:t>
            </w:r>
          </w:p>
        </w:tc>
        <w:tc>
          <w:tcPr>
            <w:tcW w:type="dxa" w:w="6800"/>
          </w:tcPr>
          <w:p>
            <w:pPr>
              <w:spacing w:line="276" w:lineRule="auto" w:after="20" w:before="20"/>
              <w:jc w:val="left"/>
            </w:pPr>
            <w:r/>
            <w:r>
              <w:rPr>
                <w:rFonts w:ascii="Arial" w:hAnsi="Arial"/>
                <w:b/>
                <w:color w:val="C62828"/>
                <w:sz w:val="20"/>
              </w:rPr>
              <w:t xml:space="preserve">FALLO      </w:t>
            </w:r>
            <w:r>
              <w:rPr>
                <w:rFonts w:ascii="Arial" w:hAnsi="Arial"/>
                <w:b w:val="0"/>
                <w:color w:val="404040"/>
                <w:sz w:val="20"/>
              </w:rPr>
              <w:t>Tipo: Seguridad / Cumplimiento</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Detalle</w:t>
            </w:r>
          </w:p>
        </w:tc>
        <w:tc>
          <w:tcPr>
            <w:tcW w:type="dxa" w:w="6800"/>
          </w:tcPr>
          <w:p>
            <w:pPr>
              <w:spacing w:line="276" w:lineRule="auto" w:after="20" w:before="20"/>
              <w:jc w:val="left"/>
            </w:pPr>
            <w:r/>
            <w:r>
              <w:rPr>
                <w:rFonts w:ascii="Arial" w:hAnsi="Arial"/>
                <w:b w:val="0"/>
                <w:sz w:val="20"/>
              </w:rPr>
              <w:t>Con token de la empresa 101 se obtuvo HTTP 200 al leer el cliente 5530 de la empresa 102, exponiendo su RUT y cuenta bancaria, y se editó su contrato. Vulnerabilidad IDOR.</w:t>
            </w:r>
          </w:p>
        </w:tc>
      </w:tr>
      <w:tr>
        <w:tc>
          <w:tcPr>
            <w:tcW w:type="dxa" w:w="8640"/>
            <w:gridSpan w:val="2"/>
          </w:tcPr>
          <w:p>
            <w:pPr>
              <w:spacing w:after="40"/>
              <w:jc w:val="left"/>
            </w:pPr>
            <w:r>
              <w:rPr>
                <w:rFonts w:ascii="Arial" w:hAnsi="Arial"/>
                <w:b/>
                <w:color w:val="1F3864"/>
                <w:sz w:val="20"/>
              </w:rPr>
              <w:t>Evidencia</w:t>
            </w:r>
          </w:p>
          <w:p>
            <w:pPr>
              <w:spacing w:before="40" w:after="40"/>
              <w:jc w:val="center"/>
            </w:pPr>
            <w:r>
              <w:drawing>
                <wp:inline xmlns:a="http://schemas.openxmlformats.org/drawingml/2006/main" xmlns:pic="http://schemas.openxmlformats.org/drawingml/2006/picture">
                  <wp:extent cx="5212080" cy="1438428"/>
                  <wp:docPr id="6" name="Picture 6"/>
                  <wp:cNvGraphicFramePr>
                    <a:graphicFrameLocks noChangeAspect="1"/>
                  </wp:cNvGraphicFramePr>
                  <a:graphic>
                    <a:graphicData uri="http://schemas.openxmlformats.org/drawingml/2006/picture">
                      <pic:pic>
                        <pic:nvPicPr>
                          <pic:cNvPr id="0" name="ev04_cp03.png"/>
                          <pic:cNvPicPr/>
                        </pic:nvPicPr>
                        <pic:blipFill>
                          <a:blip r:embed="rId14"/>
                          <a:stretch>
                            <a:fillRect/>
                          </a:stretch>
                        </pic:blipFill>
                        <pic:spPr>
                          <a:xfrm>
                            <a:off x="0" y="0"/>
                            <a:ext cx="5212080" cy="1438428"/>
                          </a:xfrm>
                          <a:prstGeom prst="rect"/>
                        </pic:spPr>
                      </pic:pic>
                    </a:graphicData>
                  </a:graphic>
                </wp:inline>
              </w:drawing>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Incidente</w:t>
            </w:r>
          </w:p>
        </w:tc>
        <w:tc>
          <w:tcPr>
            <w:tcW w:type="dxa" w:w="6800"/>
          </w:tcPr>
          <w:p>
            <w:pPr>
              <w:spacing w:line="276" w:lineRule="auto" w:after="20" w:before="20"/>
              <w:jc w:val="left"/>
            </w:pPr>
            <w:r/>
            <w:r>
              <w:rPr>
                <w:rFonts w:ascii="Arial" w:hAnsi="Arial"/>
                <w:b w:val="0"/>
                <w:color w:val="C62828"/>
                <w:sz w:val="20"/>
              </w:rPr>
              <w:t>INC-01 (IDOR)</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Fecha / ejecutó</w:t>
            </w:r>
          </w:p>
        </w:tc>
        <w:tc>
          <w:tcPr>
            <w:tcW w:type="dxa" w:w="6800"/>
          </w:tcPr>
          <w:p>
            <w:pPr>
              <w:spacing w:line="276" w:lineRule="auto" w:after="20" w:before="20"/>
              <w:jc w:val="left"/>
            </w:pPr>
            <w:r/>
            <w:r>
              <w:rPr>
                <w:rFonts w:ascii="Arial" w:hAnsi="Arial"/>
                <w:b w:val="0"/>
                <w:sz w:val="20"/>
              </w:rPr>
              <w:t>29-10-2026 · Grupo 15</w:t>
            </w:r>
          </w:p>
        </w:tc>
      </w:tr>
    </w:tbl>
    <w:p>
      <w:pPr>
        <w:spacing w:after="40"/>
      </w:pPr>
    </w:p>
    <w:tbl>
      <w:tblPr>
        <w:tblStyle w:val="TableGrid"/>
        <w:tblW w:type="auto" w:w="0"/>
        <w:jc w:val="center"/>
        <w:tblLayout w:type="fixed"/>
        <w:tblLook w:firstColumn="1" w:firstRow="1" w:lastColumn="0" w:lastRow="0" w:noHBand="0" w:noVBand="1" w:val="04A0"/>
      </w:tblPr>
      <w:tblGrid>
        <w:gridCol w:w="4320"/>
        <w:gridCol w:w="4320"/>
      </w:tblGrid>
      <w:tr>
        <w:trPr>
          <w:cantSplit w:val="true"/>
        </w:trPr>
        <w:tc>
          <w:tcPr>
            <w:tcW w:type="dxa" w:w="8640"/>
            <w:gridSpan w:val="2"/>
            <w:shd w:val="clear" w:color="auto" w:fill="1F3864"/>
          </w:tcPr>
          <w:p>
            <w:pPr>
              <w:spacing w:line="276" w:lineRule="auto" w:after="20" w:before="20"/>
              <w:jc w:val="left"/>
            </w:pPr>
            <w:r/>
            <w:r>
              <w:rPr>
                <w:rFonts w:ascii="Arial" w:hAnsi="Arial"/>
                <w:b/>
                <w:color w:val="FFFFFF"/>
                <w:sz w:val="20"/>
              </w:rPr>
              <w:t xml:space="preserve">CP-04  —  </w:t>
            </w:r>
            <w:r>
              <w:rPr>
                <w:rFonts w:ascii="Arial" w:hAnsi="Arial"/>
                <w:b/>
                <w:color w:val="FFFFFF"/>
                <w:sz w:val="20"/>
              </w:rPr>
              <w:t>Validación de datos de clientes</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Resultado</w:t>
            </w:r>
          </w:p>
        </w:tc>
        <w:tc>
          <w:tcPr>
            <w:tcW w:type="dxa" w:w="6800"/>
          </w:tcPr>
          <w:p>
            <w:pPr>
              <w:spacing w:line="276" w:lineRule="auto" w:after="20" w:before="20"/>
              <w:jc w:val="left"/>
            </w:pPr>
            <w:r/>
            <w:r>
              <w:rPr>
                <w:rFonts w:ascii="Arial" w:hAnsi="Arial"/>
                <w:b/>
                <w:color w:val="1E7D32"/>
                <w:sz w:val="20"/>
              </w:rPr>
              <w:t xml:space="preserve">PASE      </w:t>
            </w:r>
            <w:r>
              <w:rPr>
                <w:rFonts w:ascii="Arial" w:hAnsi="Arial"/>
                <w:b w:val="0"/>
                <w:color w:val="404040"/>
                <w:sz w:val="20"/>
              </w:rPr>
              <w:t>Tipo: Funcional</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Detalle</w:t>
            </w:r>
          </w:p>
        </w:tc>
        <w:tc>
          <w:tcPr>
            <w:tcW w:type="dxa" w:w="6800"/>
          </w:tcPr>
          <w:p>
            <w:pPr>
              <w:spacing w:line="276" w:lineRule="auto" w:after="20" w:before="20"/>
              <w:jc w:val="left"/>
            </w:pPr>
            <w:r/>
            <w:r>
              <w:rPr>
                <w:rFonts w:ascii="Arial" w:hAnsi="Arial"/>
                <w:b w:val="0"/>
                <w:sz w:val="20"/>
              </w:rPr>
              <w:t>HTTP 201 con datos válidos y HTTP 422 al rechazar RUT y teléfono mal formados.</w:t>
            </w:r>
          </w:p>
        </w:tc>
      </w:tr>
      <w:tr>
        <w:tc>
          <w:tcPr>
            <w:tcW w:type="dxa" w:w="8640"/>
            <w:gridSpan w:val="2"/>
          </w:tcPr>
          <w:p>
            <w:pPr>
              <w:spacing w:after="40"/>
              <w:jc w:val="left"/>
            </w:pPr>
            <w:r>
              <w:rPr>
                <w:rFonts w:ascii="Arial" w:hAnsi="Arial"/>
                <w:b/>
                <w:color w:val="1F3864"/>
                <w:sz w:val="20"/>
              </w:rPr>
              <w:t>Evidencia</w:t>
            </w:r>
          </w:p>
          <w:p>
            <w:pPr>
              <w:spacing w:before="40" w:after="40"/>
              <w:jc w:val="center"/>
            </w:pPr>
            <w:r>
              <w:drawing>
                <wp:inline xmlns:a="http://schemas.openxmlformats.org/drawingml/2006/main" xmlns:pic="http://schemas.openxmlformats.org/drawingml/2006/picture">
                  <wp:extent cx="5212080" cy="853193"/>
                  <wp:docPr id="7" name="Picture 7"/>
                  <wp:cNvGraphicFramePr>
                    <a:graphicFrameLocks noChangeAspect="1"/>
                  </wp:cNvGraphicFramePr>
                  <a:graphic>
                    <a:graphicData uri="http://schemas.openxmlformats.org/drawingml/2006/picture">
                      <pic:pic>
                        <pic:nvPicPr>
                          <pic:cNvPr id="0" name="ev05_cp04.png"/>
                          <pic:cNvPicPr/>
                        </pic:nvPicPr>
                        <pic:blipFill>
                          <a:blip r:embed="rId15"/>
                          <a:stretch>
                            <a:fillRect/>
                          </a:stretch>
                        </pic:blipFill>
                        <pic:spPr>
                          <a:xfrm>
                            <a:off x="0" y="0"/>
                            <a:ext cx="5212080" cy="853193"/>
                          </a:xfrm>
                          <a:prstGeom prst="rect"/>
                        </pic:spPr>
                      </pic:pic>
                    </a:graphicData>
                  </a:graphic>
                </wp:inline>
              </w:drawing>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Incidente</w:t>
            </w:r>
          </w:p>
        </w:tc>
        <w:tc>
          <w:tcPr>
            <w:tcW w:type="dxa" w:w="6800"/>
          </w:tcPr>
          <w:p>
            <w:pPr>
              <w:spacing w:line="276" w:lineRule="auto" w:after="20" w:before="20"/>
              <w:jc w:val="left"/>
            </w:pPr>
            <w:r/>
            <w:r>
              <w:rPr>
                <w:rFonts w:ascii="Arial" w:hAnsi="Arial"/>
                <w:b w:val="0"/>
                <w:color w:val="404040"/>
                <w:sz w:val="20"/>
              </w:rPr>
              <w:t>—</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Fecha / ejecutó</w:t>
            </w:r>
          </w:p>
        </w:tc>
        <w:tc>
          <w:tcPr>
            <w:tcW w:type="dxa" w:w="6800"/>
          </w:tcPr>
          <w:p>
            <w:pPr>
              <w:spacing w:line="276" w:lineRule="auto" w:after="20" w:before="20"/>
              <w:jc w:val="left"/>
            </w:pPr>
            <w:r/>
            <w:r>
              <w:rPr>
                <w:rFonts w:ascii="Arial" w:hAnsi="Arial"/>
                <w:b w:val="0"/>
                <w:sz w:val="20"/>
              </w:rPr>
              <w:t>29-10-2026 · Grupo 15</w:t>
            </w:r>
          </w:p>
        </w:tc>
      </w:tr>
    </w:tbl>
    <w:p>
      <w:pPr>
        <w:spacing w:after="40"/>
      </w:pPr>
    </w:p>
    <w:tbl>
      <w:tblPr>
        <w:tblStyle w:val="TableGrid"/>
        <w:tblW w:type="auto" w:w="0"/>
        <w:jc w:val="center"/>
        <w:tblLayout w:type="fixed"/>
        <w:tblLook w:firstColumn="1" w:firstRow="1" w:lastColumn="0" w:lastRow="0" w:noHBand="0" w:noVBand="1" w:val="04A0"/>
      </w:tblPr>
      <w:tblGrid>
        <w:gridCol w:w="4320"/>
        <w:gridCol w:w="4320"/>
      </w:tblGrid>
      <w:tr>
        <w:trPr>
          <w:cantSplit w:val="true"/>
        </w:trPr>
        <w:tc>
          <w:tcPr>
            <w:tcW w:type="dxa" w:w="8640"/>
            <w:gridSpan w:val="2"/>
            <w:shd w:val="clear" w:color="auto" w:fill="1F3864"/>
          </w:tcPr>
          <w:p>
            <w:pPr>
              <w:spacing w:line="276" w:lineRule="auto" w:after="20" w:before="20"/>
              <w:jc w:val="left"/>
            </w:pPr>
            <w:r/>
            <w:r>
              <w:rPr>
                <w:rFonts w:ascii="Arial" w:hAnsi="Arial"/>
                <w:b/>
                <w:color w:val="FFFFFF"/>
                <w:sz w:val="20"/>
              </w:rPr>
              <w:t xml:space="preserve">CP-06  —  </w:t>
            </w:r>
            <w:r>
              <w:rPr>
                <w:rFonts w:ascii="Arial" w:hAnsi="Arial"/>
                <w:b/>
                <w:color w:val="FFFFFF"/>
                <w:sz w:val="20"/>
              </w:rPr>
              <w:t>Protección contra inyección, XSS y CSRF</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Resultado</w:t>
            </w:r>
          </w:p>
        </w:tc>
        <w:tc>
          <w:tcPr>
            <w:tcW w:type="dxa" w:w="6800"/>
          </w:tcPr>
          <w:p>
            <w:pPr>
              <w:spacing w:line="276" w:lineRule="auto" w:after="20" w:before="20"/>
              <w:jc w:val="left"/>
            </w:pPr>
            <w:r/>
            <w:r>
              <w:rPr>
                <w:rFonts w:ascii="Arial" w:hAnsi="Arial"/>
                <w:b/>
                <w:color w:val="C62828"/>
                <w:sz w:val="20"/>
              </w:rPr>
              <w:t xml:space="preserve">FALLO      </w:t>
            </w:r>
            <w:r>
              <w:rPr>
                <w:rFonts w:ascii="Arial" w:hAnsi="Arial"/>
                <w:b w:val="0"/>
                <w:color w:val="404040"/>
                <w:sz w:val="20"/>
              </w:rPr>
              <w:t>Tipo: Seguridad (SAST/DAST)</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Detalle</w:t>
            </w:r>
          </w:p>
        </w:tc>
        <w:tc>
          <w:tcPr>
            <w:tcW w:type="dxa" w:w="6800"/>
          </w:tcPr>
          <w:p>
            <w:pPr>
              <w:spacing w:line="276" w:lineRule="auto" w:after="20" w:before="20"/>
              <w:jc w:val="left"/>
            </w:pPr>
            <w:r/>
            <w:r>
              <w:rPr>
                <w:rFonts w:ascii="Arial" w:hAnsi="Arial"/>
                <w:b w:val="0"/>
                <w:sz w:val="20"/>
              </w:rPr>
              <w:t>SQLi bloqueado y CSRF rechazado (403), pero el script se almacena y se devuelve sin escapar y la respuesta no incluye cabecera CSP. Vulnerabilidad Stored XSS.</w:t>
            </w:r>
          </w:p>
        </w:tc>
      </w:tr>
      <w:tr>
        <w:tc>
          <w:tcPr>
            <w:tcW w:type="dxa" w:w="8640"/>
            <w:gridSpan w:val="2"/>
          </w:tcPr>
          <w:p>
            <w:pPr>
              <w:spacing w:after="40"/>
              <w:jc w:val="left"/>
            </w:pPr>
            <w:r>
              <w:rPr>
                <w:rFonts w:ascii="Arial" w:hAnsi="Arial"/>
                <w:b/>
                <w:color w:val="1F3864"/>
                <w:sz w:val="20"/>
              </w:rPr>
              <w:t>Evidencia</w:t>
            </w:r>
          </w:p>
          <w:p>
            <w:pPr>
              <w:spacing w:before="40" w:after="40"/>
              <w:jc w:val="center"/>
            </w:pPr>
            <w:r>
              <w:drawing>
                <wp:inline xmlns:a="http://schemas.openxmlformats.org/drawingml/2006/main" xmlns:pic="http://schemas.openxmlformats.org/drawingml/2006/picture">
                  <wp:extent cx="5212080" cy="1737360"/>
                  <wp:docPr id="8" name="Picture 8"/>
                  <wp:cNvGraphicFramePr>
                    <a:graphicFrameLocks noChangeAspect="1"/>
                  </wp:cNvGraphicFramePr>
                  <a:graphic>
                    <a:graphicData uri="http://schemas.openxmlformats.org/drawingml/2006/picture">
                      <pic:pic>
                        <pic:nvPicPr>
                          <pic:cNvPr id="0" name="ev06_cp06.png"/>
                          <pic:cNvPicPr/>
                        </pic:nvPicPr>
                        <pic:blipFill>
                          <a:blip r:embed="rId16"/>
                          <a:stretch>
                            <a:fillRect/>
                          </a:stretch>
                        </pic:blipFill>
                        <pic:spPr>
                          <a:xfrm>
                            <a:off x="0" y="0"/>
                            <a:ext cx="5212080" cy="1737360"/>
                          </a:xfrm>
                          <a:prstGeom prst="rect"/>
                        </pic:spPr>
                      </pic:pic>
                    </a:graphicData>
                  </a:graphic>
                </wp:inline>
              </w:drawing>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Incidente</w:t>
            </w:r>
          </w:p>
        </w:tc>
        <w:tc>
          <w:tcPr>
            <w:tcW w:type="dxa" w:w="6800"/>
          </w:tcPr>
          <w:p>
            <w:pPr>
              <w:spacing w:line="276" w:lineRule="auto" w:after="20" w:before="20"/>
              <w:jc w:val="left"/>
            </w:pPr>
            <w:r/>
            <w:r>
              <w:rPr>
                <w:rFonts w:ascii="Arial" w:hAnsi="Arial"/>
                <w:b w:val="0"/>
                <w:color w:val="C62828"/>
                <w:sz w:val="20"/>
              </w:rPr>
              <w:t>INC-02 (XSS)</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Fecha / ejecutó</w:t>
            </w:r>
          </w:p>
        </w:tc>
        <w:tc>
          <w:tcPr>
            <w:tcW w:type="dxa" w:w="6800"/>
          </w:tcPr>
          <w:p>
            <w:pPr>
              <w:spacing w:line="276" w:lineRule="auto" w:after="20" w:before="20"/>
              <w:jc w:val="left"/>
            </w:pPr>
            <w:r/>
            <w:r>
              <w:rPr>
                <w:rFonts w:ascii="Arial" w:hAnsi="Arial"/>
                <w:b w:val="0"/>
                <w:sz w:val="20"/>
              </w:rPr>
              <w:t>29-10-2026 · Grupo 15</w:t>
            </w:r>
          </w:p>
        </w:tc>
      </w:tr>
    </w:tbl>
    <w:p>
      <w:pPr>
        <w:spacing w:after="40"/>
      </w:pPr>
    </w:p>
    <w:tbl>
      <w:tblPr>
        <w:tblStyle w:val="TableGrid"/>
        <w:tblW w:type="auto" w:w="0"/>
        <w:jc w:val="center"/>
        <w:tblLayout w:type="fixed"/>
        <w:tblLook w:firstColumn="1" w:firstRow="1" w:lastColumn="0" w:lastRow="0" w:noHBand="0" w:noVBand="1" w:val="04A0"/>
      </w:tblPr>
      <w:tblGrid>
        <w:gridCol w:w="4320"/>
        <w:gridCol w:w="4320"/>
      </w:tblGrid>
      <w:tr>
        <w:trPr>
          <w:cantSplit w:val="true"/>
        </w:trPr>
        <w:tc>
          <w:tcPr>
            <w:tcW w:type="dxa" w:w="8640"/>
            <w:gridSpan w:val="2"/>
            <w:shd w:val="clear" w:color="auto" w:fill="1F3864"/>
          </w:tcPr>
          <w:p>
            <w:pPr>
              <w:spacing w:line="276" w:lineRule="auto" w:after="20" w:before="20"/>
              <w:jc w:val="left"/>
            </w:pPr>
            <w:r/>
            <w:r>
              <w:rPr>
                <w:rFonts w:ascii="Arial" w:hAnsi="Arial"/>
                <w:b/>
                <w:color w:val="FFFFFF"/>
                <w:sz w:val="20"/>
              </w:rPr>
              <w:t xml:space="preserve">CP-07  —  </w:t>
            </w:r>
            <w:r>
              <w:rPr>
                <w:rFonts w:ascii="Arial" w:hAnsi="Arial"/>
                <w:b/>
                <w:color w:val="FFFFFF"/>
                <w:sz w:val="20"/>
              </w:rPr>
              <w:t>Resiliencia de contenedores bajo carga</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Resultado</w:t>
            </w:r>
          </w:p>
        </w:tc>
        <w:tc>
          <w:tcPr>
            <w:tcW w:type="dxa" w:w="6800"/>
          </w:tcPr>
          <w:p>
            <w:pPr>
              <w:spacing w:line="276" w:lineRule="auto" w:after="20" w:before="20"/>
              <w:jc w:val="left"/>
            </w:pPr>
            <w:r/>
            <w:r>
              <w:rPr>
                <w:rFonts w:ascii="Arial" w:hAnsi="Arial"/>
                <w:b/>
                <w:color w:val="1E7D32"/>
                <w:sz w:val="20"/>
              </w:rPr>
              <w:t xml:space="preserve">PASE      </w:t>
            </w:r>
            <w:r>
              <w:rPr>
                <w:rFonts w:ascii="Arial" w:hAnsi="Arial"/>
                <w:b w:val="0"/>
                <w:color w:val="404040"/>
                <w:sz w:val="20"/>
              </w:rPr>
              <w:t>Tipo: No funcional (rendimiento)</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Detalle</w:t>
            </w:r>
          </w:p>
        </w:tc>
        <w:tc>
          <w:tcPr>
            <w:tcW w:type="dxa" w:w="6800"/>
          </w:tcPr>
          <w:p>
            <w:pPr>
              <w:spacing w:line="276" w:lineRule="auto" w:after="20" w:before="20"/>
              <w:jc w:val="left"/>
            </w:pPr>
            <w:r/>
            <w:r>
              <w:rPr>
                <w:rFonts w:ascii="Arial" w:hAnsi="Arial"/>
                <w:b w:val="0"/>
                <w:sz w:val="20"/>
              </w:rPr>
              <w:t>200 peticiones concurrentes respondidas con HTTP 200; memoria estable y sin reinicios de contenedores.</w:t>
            </w:r>
          </w:p>
        </w:tc>
      </w:tr>
      <w:tr>
        <w:tc>
          <w:tcPr>
            <w:tcW w:type="dxa" w:w="8640"/>
            <w:gridSpan w:val="2"/>
          </w:tcPr>
          <w:p>
            <w:pPr>
              <w:spacing w:after="40"/>
              <w:jc w:val="left"/>
            </w:pPr>
            <w:r>
              <w:rPr>
                <w:rFonts w:ascii="Arial" w:hAnsi="Arial"/>
                <w:b/>
                <w:color w:val="1F3864"/>
                <w:sz w:val="20"/>
              </w:rPr>
              <w:t>Evidencia</w:t>
            </w:r>
          </w:p>
          <w:p>
            <w:pPr>
              <w:spacing w:before="40" w:after="40"/>
              <w:jc w:val="center"/>
            </w:pPr>
            <w:r>
              <w:drawing>
                <wp:inline xmlns:a="http://schemas.openxmlformats.org/drawingml/2006/main" xmlns:pic="http://schemas.openxmlformats.org/drawingml/2006/picture">
                  <wp:extent cx="5212080" cy="2113990"/>
                  <wp:docPr id="9" name="Picture 9"/>
                  <wp:cNvGraphicFramePr>
                    <a:graphicFrameLocks noChangeAspect="1"/>
                  </wp:cNvGraphicFramePr>
                  <a:graphic>
                    <a:graphicData uri="http://schemas.openxmlformats.org/drawingml/2006/picture">
                      <pic:pic>
                        <pic:nvPicPr>
                          <pic:cNvPr id="0" name="ev07_cp07.png"/>
                          <pic:cNvPicPr/>
                        </pic:nvPicPr>
                        <pic:blipFill>
                          <a:blip r:embed="rId17"/>
                          <a:stretch>
                            <a:fillRect/>
                          </a:stretch>
                        </pic:blipFill>
                        <pic:spPr>
                          <a:xfrm>
                            <a:off x="0" y="0"/>
                            <a:ext cx="5212080" cy="2113990"/>
                          </a:xfrm>
                          <a:prstGeom prst="rect"/>
                        </pic:spPr>
                      </pic:pic>
                    </a:graphicData>
                  </a:graphic>
                </wp:inline>
              </w:drawing>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Incidente</w:t>
            </w:r>
          </w:p>
        </w:tc>
        <w:tc>
          <w:tcPr>
            <w:tcW w:type="dxa" w:w="6800"/>
          </w:tcPr>
          <w:p>
            <w:pPr>
              <w:spacing w:line="276" w:lineRule="auto" w:after="20" w:before="20"/>
              <w:jc w:val="left"/>
            </w:pPr>
            <w:r/>
            <w:r>
              <w:rPr>
                <w:rFonts w:ascii="Arial" w:hAnsi="Arial"/>
                <w:b w:val="0"/>
                <w:color w:val="404040"/>
                <w:sz w:val="20"/>
              </w:rPr>
              <w:t>—</w:t>
            </w:r>
          </w:p>
        </w:tc>
      </w:tr>
      <w:tr>
        <w:trPr>
          <w:cantSplit w:val="true"/>
        </w:trPr>
        <w:tc>
          <w:tcPr>
            <w:tcW w:type="dxa" w:w="2400"/>
            <w:shd w:val="clear" w:color="auto" w:fill="D6DCE5"/>
          </w:tcPr>
          <w:p>
            <w:pPr>
              <w:spacing w:line="276" w:lineRule="auto" w:after="20" w:before="20"/>
              <w:jc w:val="left"/>
            </w:pPr>
            <w:r/>
            <w:r>
              <w:rPr>
                <w:rFonts w:ascii="Arial" w:hAnsi="Arial"/>
                <w:b/>
                <w:color w:val="1F3864"/>
                <w:sz w:val="20"/>
              </w:rPr>
              <w:t>Fecha / ejecutó</w:t>
            </w:r>
          </w:p>
        </w:tc>
        <w:tc>
          <w:tcPr>
            <w:tcW w:type="dxa" w:w="6800"/>
          </w:tcPr>
          <w:p>
            <w:pPr>
              <w:spacing w:line="276" w:lineRule="auto" w:after="20" w:before="20"/>
              <w:jc w:val="left"/>
            </w:pPr>
            <w:r/>
            <w:r>
              <w:rPr>
                <w:rFonts w:ascii="Arial" w:hAnsi="Arial"/>
                <w:b w:val="0"/>
                <w:sz w:val="20"/>
              </w:rPr>
              <w:t>29-10-2026 · Grupo 15</w:t>
            </w:r>
          </w:p>
        </w:tc>
      </w:tr>
    </w:tbl>
    <w:p>
      <w:pPr>
        <w:spacing w:after="40"/>
      </w:pPr>
    </w:p>
    <w:p>
      <w:pPr>
        <w:pStyle w:val="Heading2"/>
      </w:pPr>
      <w:r>
        <w:t>5.3 Criticidad de incidentes</w:t>
      </w:r>
    </w:p>
    <w:p>
      <w:pPr>
        <w:jc w:val="both"/>
      </w:pPr>
      <w:r>
        <w:t>Se aplica la siguiente escala de criticidad para clasificar los incidentes según su impacto en el sistema.</w:t>
      </w:r>
    </w:p>
    <w:tbl>
      <w:tblPr>
        <w:tblStyle w:val="TableGrid"/>
        <w:tblW w:type="auto" w:w="0"/>
        <w:jc w:val="center"/>
        <w:tblLayout w:type="fixed"/>
        <w:tblLook w:firstColumn="1" w:firstRow="1" w:lastColumn="0" w:lastRow="0" w:noHBand="0" w:noVBand="1" w:val="04A0"/>
      </w:tblPr>
      <w:tblGrid>
        <w:gridCol w:w="4320"/>
        <w:gridCol w:w="4320"/>
      </w:tblGrid>
      <w:tr>
        <w:trPr>
          <w:tblHeader w:val="true"/>
        </w:trPr>
        <w:tc>
          <w:tcPr>
            <w:tcW w:type="dxa" w:w="1800"/>
            <w:shd w:val="clear" w:color="auto" w:fill="1F3864"/>
          </w:tcPr>
          <w:p>
            <w:pPr>
              <w:spacing w:line="276" w:lineRule="auto" w:after="20" w:before="20"/>
              <w:jc w:val="left"/>
            </w:pPr>
            <w:r/>
            <w:r>
              <w:rPr>
                <w:rFonts w:ascii="Arial" w:hAnsi="Arial"/>
                <w:b/>
                <w:color w:val="FFFFFF"/>
                <w:sz w:val="20"/>
              </w:rPr>
              <w:t>Nivel</w:t>
            </w:r>
          </w:p>
        </w:tc>
        <w:tc>
          <w:tcPr>
            <w:tcW w:type="dxa" w:w="7400"/>
            <w:shd w:val="clear" w:color="auto" w:fill="1F3864"/>
          </w:tcPr>
          <w:p>
            <w:pPr>
              <w:spacing w:line="276" w:lineRule="auto" w:after="20" w:before="20"/>
              <w:jc w:val="left"/>
            </w:pPr>
            <w:r/>
            <w:r>
              <w:rPr>
                <w:rFonts w:ascii="Arial" w:hAnsi="Arial"/>
                <w:b/>
                <w:color w:val="FFFFFF"/>
                <w:sz w:val="20"/>
              </w:rPr>
              <w:t>Descripción</w:t>
            </w:r>
          </w:p>
        </w:tc>
      </w:tr>
      <w:tr>
        <w:trPr>
          <w:cantSplit w:val="true"/>
        </w:trPr>
        <w:tc>
          <w:tcPr>
            <w:tcW w:type="dxa" w:w="1800"/>
          </w:tcPr>
          <w:p>
            <w:pPr>
              <w:spacing w:line="276" w:lineRule="auto" w:after="20" w:before="20"/>
              <w:jc w:val="left"/>
            </w:pPr>
            <w:r/>
            <w:r>
              <w:rPr>
                <w:rFonts w:ascii="Arial" w:hAnsi="Arial"/>
                <w:b/>
                <w:color w:val="C62828"/>
                <w:sz w:val="20"/>
              </w:rPr>
              <w:t>CRÍTICO</w:t>
            </w:r>
          </w:p>
        </w:tc>
        <w:tc>
          <w:tcPr>
            <w:tcW w:type="dxa" w:w="7400"/>
          </w:tcPr>
          <w:p>
            <w:pPr>
              <w:spacing w:line="276" w:lineRule="auto" w:after="20" w:before="20"/>
              <w:jc w:val="left"/>
            </w:pPr>
            <w:r/>
            <w:r>
              <w:rPr>
                <w:rFonts w:ascii="Arial" w:hAnsi="Arial"/>
                <w:b w:val="0"/>
                <w:sz w:val="20"/>
              </w:rPr>
              <w:t>Impide el funcionamiento del sistema o compromete datos sensibles de terceros. Requiere remediación inmediata.</w:t>
            </w:r>
          </w:p>
        </w:tc>
      </w:tr>
      <w:tr>
        <w:trPr>
          <w:cantSplit w:val="true"/>
        </w:trPr>
        <w:tc>
          <w:tcPr>
            <w:tcW w:type="dxa" w:w="1800"/>
          </w:tcPr>
          <w:p>
            <w:pPr>
              <w:spacing w:line="276" w:lineRule="auto" w:after="20" w:before="20"/>
              <w:jc w:val="left"/>
            </w:pPr>
            <w:r/>
            <w:r>
              <w:rPr>
                <w:rFonts w:ascii="Arial" w:hAnsi="Arial"/>
                <w:b/>
                <w:color w:val="B54A00"/>
                <w:sz w:val="20"/>
              </w:rPr>
              <w:t>GRAVE</w:t>
            </w:r>
          </w:p>
        </w:tc>
        <w:tc>
          <w:tcPr>
            <w:tcW w:type="dxa" w:w="7400"/>
          </w:tcPr>
          <w:p>
            <w:pPr>
              <w:spacing w:line="276" w:lineRule="auto" w:after="20" w:before="20"/>
              <w:jc w:val="left"/>
            </w:pPr>
            <w:r/>
            <w:r>
              <w:rPr>
                <w:rFonts w:ascii="Arial" w:hAnsi="Arial"/>
                <w:b w:val="0"/>
                <w:sz w:val="20"/>
              </w:rPr>
              <w:t>Afecta funcionalidades importantes o abre un vector de ataque explotable. Debe corregirse con urgencia.</w:t>
            </w:r>
          </w:p>
        </w:tc>
      </w:tr>
      <w:tr>
        <w:trPr>
          <w:cantSplit w:val="true"/>
        </w:trPr>
        <w:tc>
          <w:tcPr>
            <w:tcW w:type="dxa" w:w="1800"/>
          </w:tcPr>
          <w:p>
            <w:pPr>
              <w:spacing w:line="276" w:lineRule="auto" w:after="20" w:before="20"/>
              <w:jc w:val="left"/>
            </w:pPr>
            <w:r/>
            <w:r>
              <w:rPr>
                <w:rFonts w:ascii="Arial" w:hAnsi="Arial"/>
                <w:b/>
                <w:color w:val="404040"/>
                <w:sz w:val="20"/>
              </w:rPr>
              <w:t>MODERADO</w:t>
            </w:r>
          </w:p>
        </w:tc>
        <w:tc>
          <w:tcPr>
            <w:tcW w:type="dxa" w:w="7400"/>
          </w:tcPr>
          <w:p>
            <w:pPr>
              <w:spacing w:line="276" w:lineRule="auto" w:after="20" w:before="20"/>
              <w:jc w:val="left"/>
            </w:pPr>
            <w:r/>
            <w:r>
              <w:rPr>
                <w:rFonts w:ascii="Arial" w:hAnsi="Arial"/>
                <w:b w:val="0"/>
                <w:sz w:val="20"/>
              </w:rPr>
              <w:t>Afecta funcionalidades secundarias o casos específicos sin detener el flujo principal.</w:t>
            </w:r>
          </w:p>
        </w:tc>
      </w:tr>
      <w:tr>
        <w:trPr>
          <w:cantSplit w:val="true"/>
        </w:trPr>
        <w:tc>
          <w:tcPr>
            <w:tcW w:type="dxa" w:w="1800"/>
          </w:tcPr>
          <w:p>
            <w:pPr>
              <w:spacing w:line="276" w:lineRule="auto" w:after="20" w:before="20"/>
              <w:jc w:val="left"/>
            </w:pPr>
            <w:r/>
            <w:r>
              <w:rPr>
                <w:rFonts w:ascii="Arial" w:hAnsi="Arial"/>
                <w:b/>
                <w:color w:val="404040"/>
                <w:sz w:val="20"/>
              </w:rPr>
              <w:t>LEVE</w:t>
            </w:r>
          </w:p>
        </w:tc>
        <w:tc>
          <w:tcPr>
            <w:tcW w:type="dxa" w:w="7400"/>
          </w:tcPr>
          <w:p>
            <w:pPr>
              <w:spacing w:line="276" w:lineRule="auto" w:after="20" w:before="20"/>
              <w:jc w:val="left"/>
            </w:pPr>
            <w:r/>
            <w:r>
              <w:rPr>
                <w:rFonts w:ascii="Arial" w:hAnsi="Arial"/>
                <w:b w:val="0"/>
                <w:sz w:val="20"/>
              </w:rPr>
              <w:t>Defecto de apariencia o texto que no afecta la funcionalidad.</w:t>
            </w:r>
          </w:p>
        </w:tc>
      </w:tr>
    </w:tbl>
    <w:p>
      <w:pPr>
        <w:spacing w:after="40"/>
      </w:pPr>
    </w:p>
    <w:p>
      <w:pPr>
        <w:jc w:val="both"/>
      </w:pPr>
      <w:r>
        <w:t>Los incidentes detectados se clasifican así:</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trPr>
        <w:tc>
          <w:tcPr>
            <w:tcW w:type="dxa" w:w="1000"/>
            <w:shd w:val="clear" w:color="auto" w:fill="1F3864"/>
          </w:tcPr>
          <w:p>
            <w:pPr>
              <w:spacing w:line="276" w:lineRule="auto" w:after="20" w:before="20"/>
              <w:jc w:val="left"/>
            </w:pPr>
            <w:r/>
            <w:r>
              <w:rPr>
                <w:rFonts w:ascii="Arial" w:hAnsi="Arial"/>
                <w:b/>
                <w:color w:val="FFFFFF"/>
                <w:sz w:val="20"/>
              </w:rPr>
              <w:t>Incidente</w:t>
            </w:r>
          </w:p>
        </w:tc>
        <w:tc>
          <w:tcPr>
            <w:tcW w:type="dxa" w:w="4200"/>
            <w:shd w:val="clear" w:color="auto" w:fill="1F3864"/>
          </w:tcPr>
          <w:p>
            <w:pPr>
              <w:spacing w:line="276" w:lineRule="auto" w:after="20" w:before="20"/>
              <w:jc w:val="left"/>
            </w:pPr>
            <w:r/>
            <w:r>
              <w:rPr>
                <w:rFonts w:ascii="Arial" w:hAnsi="Arial"/>
                <w:b/>
                <w:color w:val="FFFFFF"/>
                <w:sz w:val="20"/>
              </w:rPr>
              <w:t>Descripción</w:t>
            </w:r>
          </w:p>
        </w:tc>
        <w:tc>
          <w:tcPr>
            <w:tcW w:type="dxa" w:w="1300"/>
            <w:shd w:val="clear" w:color="auto" w:fill="1F3864"/>
          </w:tcPr>
          <w:p>
            <w:pPr>
              <w:spacing w:line="276" w:lineRule="auto" w:after="20" w:before="20"/>
              <w:jc w:val="left"/>
            </w:pPr>
            <w:r/>
            <w:r>
              <w:rPr>
                <w:rFonts w:ascii="Arial" w:hAnsi="Arial"/>
                <w:b/>
                <w:color w:val="FFFFFF"/>
                <w:sz w:val="20"/>
              </w:rPr>
              <w:t>Caso</w:t>
            </w:r>
          </w:p>
        </w:tc>
        <w:tc>
          <w:tcPr>
            <w:tcW w:type="dxa" w:w="2700"/>
            <w:shd w:val="clear" w:color="auto" w:fill="1F3864"/>
          </w:tcPr>
          <w:p>
            <w:pPr>
              <w:spacing w:line="276" w:lineRule="auto" w:after="20" w:before="20"/>
              <w:jc w:val="left"/>
            </w:pPr>
            <w:r/>
            <w:r>
              <w:rPr>
                <w:rFonts w:ascii="Arial" w:hAnsi="Arial"/>
                <w:b/>
                <w:color w:val="FFFFFF"/>
                <w:sz w:val="20"/>
              </w:rPr>
              <w:t>Impacto</w:t>
            </w:r>
          </w:p>
        </w:tc>
      </w:tr>
      <w:tr>
        <w:trPr>
          <w:cantSplit w:val="true"/>
        </w:trPr>
        <w:tc>
          <w:tcPr>
            <w:tcW w:type="dxa" w:w="1000"/>
          </w:tcPr>
          <w:p>
            <w:pPr>
              <w:spacing w:line="276" w:lineRule="auto" w:after="20" w:before="20"/>
              <w:jc w:val="left"/>
            </w:pPr>
            <w:r/>
            <w:r>
              <w:rPr>
                <w:rFonts w:ascii="Arial" w:hAnsi="Arial"/>
                <w:b/>
                <w:sz w:val="20"/>
              </w:rPr>
              <w:t>INC-01</w:t>
            </w:r>
          </w:p>
        </w:tc>
        <w:tc>
          <w:tcPr>
            <w:tcW w:type="dxa" w:w="4200"/>
          </w:tcPr>
          <w:p>
            <w:pPr>
              <w:spacing w:line="276" w:lineRule="auto" w:after="20" w:before="20"/>
              <w:jc w:val="left"/>
            </w:pPr>
            <w:r/>
            <w:r>
              <w:rPr>
                <w:rFonts w:ascii="Arial" w:hAnsi="Arial"/>
                <w:b w:val="0"/>
                <w:sz w:val="20"/>
              </w:rPr>
              <w:t>Acceso entre empresas por IDOR: exposición de RUT y cuenta bancaria de un tercero</w:t>
            </w:r>
          </w:p>
        </w:tc>
        <w:tc>
          <w:tcPr>
            <w:tcW w:type="dxa" w:w="1300"/>
          </w:tcPr>
          <w:p>
            <w:pPr>
              <w:spacing w:line="276" w:lineRule="auto" w:after="20" w:before="20"/>
              <w:jc w:val="center"/>
            </w:pPr>
            <w:r/>
            <w:r>
              <w:rPr>
                <w:rFonts w:ascii="Arial" w:hAnsi="Arial"/>
                <w:b w:val="0"/>
                <w:sz w:val="20"/>
              </w:rPr>
              <w:t>CP-03</w:t>
            </w:r>
          </w:p>
        </w:tc>
        <w:tc>
          <w:tcPr>
            <w:tcW w:type="dxa" w:w="2700"/>
          </w:tcPr>
          <w:p>
            <w:pPr>
              <w:spacing w:line="276" w:lineRule="auto" w:after="20" w:before="20"/>
              <w:jc w:val="center"/>
            </w:pPr>
            <w:r/>
            <w:r>
              <w:rPr>
                <w:rFonts w:ascii="Arial" w:hAnsi="Arial"/>
                <w:b/>
                <w:color w:val="C62828"/>
                <w:sz w:val="20"/>
              </w:rPr>
              <w:t>CRÍTICO</w:t>
            </w:r>
          </w:p>
        </w:tc>
      </w:tr>
      <w:tr>
        <w:trPr>
          <w:cantSplit w:val="true"/>
        </w:trPr>
        <w:tc>
          <w:tcPr>
            <w:tcW w:type="dxa" w:w="1000"/>
            <w:shd w:val="clear" w:color="auto" w:fill="F4F6F9"/>
          </w:tcPr>
          <w:p>
            <w:pPr>
              <w:spacing w:line="276" w:lineRule="auto" w:after="20" w:before="20"/>
              <w:jc w:val="left"/>
            </w:pPr>
            <w:r/>
            <w:r>
              <w:rPr>
                <w:rFonts w:ascii="Arial" w:hAnsi="Arial"/>
                <w:b/>
                <w:sz w:val="20"/>
              </w:rPr>
              <w:t>INC-02</w:t>
            </w:r>
          </w:p>
        </w:tc>
        <w:tc>
          <w:tcPr>
            <w:tcW w:type="dxa" w:w="4200"/>
            <w:shd w:val="clear" w:color="auto" w:fill="F4F6F9"/>
          </w:tcPr>
          <w:p>
            <w:pPr>
              <w:spacing w:line="276" w:lineRule="auto" w:after="20" w:before="20"/>
              <w:jc w:val="left"/>
            </w:pPr>
            <w:r/>
            <w:r>
              <w:rPr>
                <w:rFonts w:ascii="Arial" w:hAnsi="Arial"/>
                <w:b w:val="0"/>
                <w:sz w:val="20"/>
              </w:rPr>
              <w:t>Stored XSS por falta de saneamiento y de cabecera CSP</w:t>
            </w:r>
          </w:p>
        </w:tc>
        <w:tc>
          <w:tcPr>
            <w:tcW w:type="dxa" w:w="1300"/>
            <w:shd w:val="clear" w:color="auto" w:fill="F4F6F9"/>
          </w:tcPr>
          <w:p>
            <w:pPr>
              <w:spacing w:line="276" w:lineRule="auto" w:after="20" w:before="20"/>
              <w:jc w:val="center"/>
            </w:pPr>
            <w:r/>
            <w:r>
              <w:rPr>
                <w:rFonts w:ascii="Arial" w:hAnsi="Arial"/>
                <w:b w:val="0"/>
                <w:sz w:val="20"/>
              </w:rPr>
              <w:t>CP-06</w:t>
            </w:r>
          </w:p>
        </w:tc>
        <w:tc>
          <w:tcPr>
            <w:tcW w:type="dxa" w:w="2700"/>
            <w:shd w:val="clear" w:color="auto" w:fill="F4F6F9"/>
          </w:tcPr>
          <w:p>
            <w:pPr>
              <w:spacing w:line="276" w:lineRule="auto" w:after="20" w:before="20"/>
              <w:jc w:val="center"/>
            </w:pPr>
            <w:r/>
            <w:r>
              <w:rPr>
                <w:rFonts w:ascii="Arial" w:hAnsi="Arial"/>
                <w:b/>
                <w:color w:val="B54A00"/>
                <w:sz w:val="20"/>
              </w:rPr>
              <w:t>GRAVE</w:t>
            </w:r>
          </w:p>
        </w:tc>
      </w:tr>
    </w:tbl>
    <w:p>
      <w:pPr>
        <w:pStyle w:val="Heading2"/>
      </w:pPr>
      <w:r>
        <w:t>5.4 Análisis estático de código y dependencias</w:t>
      </w:r>
    </w:p>
    <w:p>
      <w:pPr>
        <w:jc w:val="both"/>
      </w:pPr>
      <w:r>
        <w:t>Como complemento de la ejecución dinámica, se aplicó análisis estático sobre el mismo ambiente QA, sin ejecutar la aplicación. Se revisó el código fuente de la API con Semgrep (104 reglas de los conjuntos OWASP Top 10, Node.js, JavaScript y de secretos) y la composición de dependencias con npm audit.</w:t>
      </w:r>
    </w:p>
    <w:p>
      <w:pPr>
        <w:jc w:val="both"/>
      </w:pPr>
      <w:r>
        <w:t>Semgrep no reportó hallazgos en el código: no se detectaron sinks de inyección, uso de eval ni volcado de entrada sin escapar, lo que es coherente con el uso de consultas parametrizadas verificado en el CP-06. El análisis de dependencias sí identificó cuatro vulnerabilidades conocidas en librerías transitivas:</w:t>
      </w:r>
    </w:p>
    <w:tbl>
      <w:tblPr>
        <w:tblStyle w:val="TableGrid"/>
        <w:tblW w:type="auto" w:w="0"/>
        <w:jc w:val="center"/>
        <w:tblLayout w:type="fixed"/>
        <w:tblLook w:firstColumn="1" w:firstRow="1" w:lastColumn="0" w:lastRow="0" w:noHBand="0" w:noVBand="1" w:val="04A0"/>
      </w:tblPr>
      <w:tblGrid>
        <w:gridCol w:w="2880"/>
        <w:gridCol w:w="2880"/>
        <w:gridCol w:w="2880"/>
      </w:tblGrid>
      <w:tr>
        <w:trPr>
          <w:tblHeader w:val="true"/>
        </w:trPr>
        <w:tc>
          <w:tcPr>
            <w:tcW w:type="dxa" w:w="2200"/>
            <w:shd w:val="clear" w:color="auto" w:fill="1F3864"/>
          </w:tcPr>
          <w:p>
            <w:pPr>
              <w:spacing w:line="276" w:lineRule="auto" w:after="20" w:before="20"/>
              <w:jc w:val="left"/>
            </w:pPr>
            <w:r/>
            <w:r>
              <w:rPr>
                <w:rFonts w:ascii="Arial" w:hAnsi="Arial"/>
                <w:b/>
                <w:color w:val="FFFFFF"/>
                <w:sz w:val="20"/>
              </w:rPr>
              <w:t>Dependencia</w:t>
            </w:r>
          </w:p>
        </w:tc>
        <w:tc>
          <w:tcPr>
            <w:tcW w:type="dxa" w:w="1500"/>
            <w:shd w:val="clear" w:color="auto" w:fill="1F3864"/>
          </w:tcPr>
          <w:p>
            <w:pPr>
              <w:spacing w:line="276" w:lineRule="auto" w:after="20" w:before="20"/>
              <w:jc w:val="left"/>
            </w:pPr>
            <w:r/>
            <w:r>
              <w:rPr>
                <w:rFonts w:ascii="Arial" w:hAnsi="Arial"/>
                <w:b/>
                <w:color w:val="FFFFFF"/>
                <w:sz w:val="20"/>
              </w:rPr>
              <w:t>Severidad</w:t>
            </w:r>
          </w:p>
        </w:tc>
        <w:tc>
          <w:tcPr>
            <w:tcW w:type="dxa" w:w="5500"/>
            <w:shd w:val="clear" w:color="auto" w:fill="1F3864"/>
          </w:tcPr>
          <w:p>
            <w:pPr>
              <w:spacing w:line="276" w:lineRule="auto" w:after="20" w:before="20"/>
              <w:jc w:val="left"/>
            </w:pPr>
            <w:r/>
            <w:r>
              <w:rPr>
                <w:rFonts w:ascii="Arial" w:hAnsi="Arial"/>
                <w:b/>
                <w:color w:val="FFFFFF"/>
                <w:sz w:val="20"/>
              </w:rPr>
              <w:t>Riesgo reportado</w:t>
            </w:r>
          </w:p>
        </w:tc>
      </w:tr>
      <w:tr>
        <w:trPr>
          <w:cantSplit w:val="true"/>
        </w:trPr>
        <w:tc>
          <w:tcPr>
            <w:tcW w:type="dxa" w:w="2200"/>
          </w:tcPr>
          <w:p>
            <w:pPr>
              <w:spacing w:line="276" w:lineRule="auto" w:after="20" w:before="20"/>
              <w:jc w:val="left"/>
            </w:pPr>
            <w:r/>
            <w:r>
              <w:rPr>
                <w:rFonts w:ascii="Arial" w:hAnsi="Arial"/>
                <w:b/>
                <w:sz w:val="20"/>
              </w:rPr>
              <w:t>body-parser</w:t>
            </w:r>
          </w:p>
        </w:tc>
        <w:tc>
          <w:tcPr>
            <w:tcW w:type="dxa" w:w="1500"/>
          </w:tcPr>
          <w:p>
            <w:pPr>
              <w:spacing w:line="276" w:lineRule="auto" w:after="20" w:before="20"/>
              <w:jc w:val="center"/>
            </w:pPr>
            <w:r/>
            <w:r>
              <w:rPr>
                <w:rFonts w:ascii="Arial" w:hAnsi="Arial"/>
                <w:b/>
                <w:color w:val="C62828"/>
                <w:sz w:val="20"/>
              </w:rPr>
              <w:t>Alta</w:t>
            </w:r>
          </w:p>
        </w:tc>
        <w:tc>
          <w:tcPr>
            <w:tcW w:type="dxa" w:w="5500"/>
          </w:tcPr>
          <w:p>
            <w:pPr>
              <w:spacing w:line="276" w:lineRule="auto" w:after="20" w:before="20"/>
              <w:jc w:val="left"/>
            </w:pPr>
            <w:r/>
            <w:r>
              <w:rPr>
                <w:rFonts w:ascii="Arial" w:hAnsi="Arial"/>
                <w:b w:val="0"/>
                <w:sz w:val="20"/>
              </w:rPr>
              <w:t>Denegación de servicio por límite de tamaño mal aplicado y por bytes residuales en cuerpo comprimido.</w:t>
            </w:r>
          </w:p>
        </w:tc>
      </w:tr>
      <w:tr>
        <w:trPr>
          <w:cantSplit w:val="true"/>
        </w:trPr>
        <w:tc>
          <w:tcPr>
            <w:tcW w:type="dxa" w:w="2200"/>
            <w:shd w:val="clear" w:color="auto" w:fill="F4F6F9"/>
          </w:tcPr>
          <w:p>
            <w:pPr>
              <w:spacing w:line="276" w:lineRule="auto" w:after="20" w:before="20"/>
              <w:jc w:val="left"/>
            </w:pPr>
            <w:r/>
            <w:r>
              <w:rPr>
                <w:rFonts w:ascii="Arial" w:hAnsi="Arial"/>
                <w:b/>
                <w:sz w:val="20"/>
              </w:rPr>
              <w:t>path-to-regexp</w:t>
            </w:r>
          </w:p>
        </w:tc>
        <w:tc>
          <w:tcPr>
            <w:tcW w:type="dxa" w:w="1500"/>
            <w:shd w:val="clear" w:color="auto" w:fill="F4F6F9"/>
          </w:tcPr>
          <w:p>
            <w:pPr>
              <w:spacing w:line="276" w:lineRule="auto" w:after="20" w:before="20"/>
              <w:jc w:val="center"/>
            </w:pPr>
            <w:r/>
            <w:r>
              <w:rPr>
                <w:rFonts w:ascii="Arial" w:hAnsi="Arial"/>
                <w:b/>
                <w:color w:val="C62828"/>
                <w:sz w:val="20"/>
              </w:rPr>
              <w:t>Alta</w:t>
            </w:r>
          </w:p>
        </w:tc>
        <w:tc>
          <w:tcPr>
            <w:tcW w:type="dxa" w:w="5500"/>
            <w:shd w:val="clear" w:color="auto" w:fill="F4F6F9"/>
          </w:tcPr>
          <w:p>
            <w:pPr>
              <w:spacing w:line="276" w:lineRule="auto" w:after="20" w:before="20"/>
              <w:jc w:val="left"/>
            </w:pPr>
            <w:r/>
            <w:r>
              <w:rPr>
                <w:rFonts w:ascii="Arial" w:hAnsi="Arial"/>
                <w:b w:val="0"/>
                <w:sz w:val="20"/>
              </w:rPr>
              <w:t>ReDoS (expresión regular) al procesar múltiples parámetros de ruta.</w:t>
            </w:r>
          </w:p>
        </w:tc>
      </w:tr>
      <w:tr>
        <w:trPr>
          <w:cantSplit w:val="true"/>
        </w:trPr>
        <w:tc>
          <w:tcPr>
            <w:tcW w:type="dxa" w:w="2200"/>
          </w:tcPr>
          <w:p>
            <w:pPr>
              <w:spacing w:line="276" w:lineRule="auto" w:after="20" w:before="20"/>
              <w:jc w:val="left"/>
            </w:pPr>
            <w:r/>
            <w:r>
              <w:rPr>
                <w:rFonts w:ascii="Arial" w:hAnsi="Arial"/>
                <w:b/>
                <w:sz w:val="20"/>
              </w:rPr>
              <w:t>express</w:t>
            </w:r>
          </w:p>
        </w:tc>
        <w:tc>
          <w:tcPr>
            <w:tcW w:type="dxa" w:w="1500"/>
          </w:tcPr>
          <w:p>
            <w:pPr>
              <w:spacing w:line="276" w:lineRule="auto" w:after="20" w:before="20"/>
              <w:jc w:val="center"/>
            </w:pPr>
            <w:r/>
            <w:r>
              <w:rPr>
                <w:rFonts w:ascii="Arial" w:hAnsi="Arial"/>
                <w:b/>
                <w:color w:val="C62828"/>
                <w:sz w:val="20"/>
              </w:rPr>
              <w:t>Alta</w:t>
            </w:r>
          </w:p>
        </w:tc>
        <w:tc>
          <w:tcPr>
            <w:tcW w:type="dxa" w:w="5500"/>
          </w:tcPr>
          <w:p>
            <w:pPr>
              <w:spacing w:line="276" w:lineRule="auto" w:after="20" w:before="20"/>
              <w:jc w:val="left"/>
            </w:pPr>
            <w:r/>
            <w:r>
              <w:rPr>
                <w:rFonts w:ascii="Arial" w:hAnsi="Arial"/>
                <w:b w:val="0"/>
                <w:sz w:val="20"/>
              </w:rPr>
              <w:t>Arrastra las vulnerabilidades de body-parser, path-to-regexp y qs.</w:t>
            </w:r>
          </w:p>
        </w:tc>
      </w:tr>
      <w:tr>
        <w:trPr>
          <w:cantSplit w:val="true"/>
        </w:trPr>
        <w:tc>
          <w:tcPr>
            <w:tcW w:type="dxa" w:w="2200"/>
            <w:shd w:val="clear" w:color="auto" w:fill="F4F6F9"/>
          </w:tcPr>
          <w:p>
            <w:pPr>
              <w:spacing w:line="276" w:lineRule="auto" w:after="20" w:before="20"/>
              <w:jc w:val="left"/>
            </w:pPr>
            <w:r/>
            <w:r>
              <w:rPr>
                <w:rFonts w:ascii="Arial" w:hAnsi="Arial"/>
                <w:b/>
                <w:sz w:val="20"/>
              </w:rPr>
              <w:t>qs</w:t>
            </w:r>
          </w:p>
        </w:tc>
        <w:tc>
          <w:tcPr>
            <w:tcW w:type="dxa" w:w="1500"/>
            <w:shd w:val="clear" w:color="auto" w:fill="F4F6F9"/>
          </w:tcPr>
          <w:p>
            <w:pPr>
              <w:spacing w:line="276" w:lineRule="auto" w:after="20" w:before="20"/>
              <w:jc w:val="center"/>
            </w:pPr>
            <w:r/>
            <w:r>
              <w:rPr>
                <w:rFonts w:ascii="Arial" w:hAnsi="Arial"/>
                <w:b/>
                <w:color w:val="404040"/>
                <w:sz w:val="20"/>
              </w:rPr>
              <w:t>Moderada</w:t>
            </w:r>
          </w:p>
        </w:tc>
        <w:tc>
          <w:tcPr>
            <w:tcW w:type="dxa" w:w="5500"/>
            <w:shd w:val="clear" w:color="auto" w:fill="F4F6F9"/>
          </w:tcPr>
          <w:p>
            <w:pPr>
              <w:spacing w:line="276" w:lineRule="auto" w:after="20" w:before="20"/>
              <w:jc w:val="left"/>
            </w:pPr>
            <w:r/>
            <w:r>
              <w:rPr>
                <w:rFonts w:ascii="Arial" w:hAnsi="Arial"/>
                <w:b w:val="0"/>
                <w:sz w:val="20"/>
              </w:rPr>
              <w:t>Denegación de servicio por bypass de arrayLimit en el parseo de parámetros.</w:t>
            </w:r>
          </w:p>
        </w:tc>
      </w:tr>
    </w:tbl>
    <w:p>
      <w:pPr>
        <w:spacing w:after="40"/>
      </w:pPr>
    </w:p>
    <w:p>
      <w:pPr>
        <w:jc w:val="both"/>
      </w:pPr>
      <w:r>
        <w:t>El resultado deja una lectura metodológica relevante: el análisis estático es eficaz para secretos, sinks y dependencias vulnerables, pero no detectó el IDOR del CP-03. Un control de autorización ausente no es un patrón sintáctico, sino un fallo de lógica de negocio que solo aflora ejecutando el sistema. Esto confirma que ambas técnicas son complementarias y que la verificación dinámica fue indispensable para el hallazgo crítico. Las dependencias vulnerables deben actualizarse a sus versiones corregidas como parte de la remediación.</w:t>
      </w:r>
    </w:p>
    <w:p>
      <w:pPr>
        <w:pStyle w:val="Heading1"/>
      </w:pPr>
      <w:r>
        <w:t>6. Análisis ético y normativo de los resultados obtenidos</w:t>
      </w:r>
    </w:p>
    <w:p>
      <w:pPr>
        <w:jc w:val="both"/>
      </w:pPr>
      <w:r>
        <w:t>La ejecución reveló dos brechas de seguridad que comprometen los estándares de calidad y el cumplimiento normativo. El hallazgo más severo es la falla de control de acceso (IDOR) del CP-03: un administrador de una empresa accedió a los datos de otra manipulando el identificador del recurso, y el sistema devolvió el RUT y la cuenta bancaria de un cliente ajeno. Este comportamiento vulnera el principio de aislamiento entre empresas (RB-2, NFR-SEG-8); de mantenerse en el sistema productivo, implicaría un incumplimiento directo de la Ley 19.628 sobre protección de la vida privada y un riesgo legal para CreaLab SpA por la exposición de datos personales y bancarios de terceros.</w:t>
      </w:r>
    </w:p>
    <w:p>
      <w:pPr>
        <w:jc w:val="both"/>
      </w:pPr>
      <w:r>
        <w:t>El segundo hallazgo, el Stored XSS del CP-06, evidencia una deficiencia en la validación del lado del servidor: la descripción del cliente se almacena y se devuelve sin escapar y la respuesta no incluye una política de seguridad de contenido (CSP). Aunque la Ley 21.719 exige seguridad desde el diseño y responsabilidad proactiva, la plataforma no aplica aún las medidas contra inyección descritas en OWASP Top 10.</w:t>
      </w:r>
    </w:p>
    <w:p>
      <w:pPr>
        <w:jc w:val="both"/>
      </w:pPr>
      <w:r>
        <w:t>Desde una perspectiva profesional, es imperativo remediar ambas vulnerabilidades antes de un pase a producción. Para el IDOR, la autorización debe resolverse en el backend comparando la empresa del token con la empresa del recurso en cada petición. Para el XSS, se deben validar y escapar las entradas y agregar las cabeceras de seguridad, entre ellas la CSP. Resueltos estos puntos, el sistema se alinearía con los criterios de confidencialidad, integridad y disponibilidad exigidos, y protegería a la organización de sanciones legales y de daño reputacional.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Arial" w:hAnsi="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cs="Arial"/>
      <w:b/>
      <w:bCs/>
      <w:color w:val="1F3864"/>
      <w:sz w:val="2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cs="Arial"/>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