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1F3864"/>
          <w:sz w:val="32"/>
        </w:rPr>
        <w:t>Guión de defensa — Evaluación Parcial 4</w:t>
      </w:r>
    </w:p>
    <w:p>
      <w:pPr>
        <w:spacing w:after="20"/>
      </w:pPr>
      <w:r>
        <w:rPr>
          <w:rFonts w:ascii="Arial" w:hAnsi="Arial"/>
          <w:color w:val="404040"/>
          <w:sz w:val="21"/>
        </w:rPr>
        <w:t>Sistema de Gestión Atlas · ISY1102 · Sección 004V · Docente Johnnathan Cubillos</w:t>
      </w:r>
    </w:p>
    <w:p>
      <w:pPr>
        <w:spacing w:after="80"/>
      </w:pPr>
      <w:r>
        <w:rPr>
          <w:rFonts w:ascii="Arial" w:hAnsi="Arial"/>
          <w:color w:val="404040"/>
          <w:sz w:val="21"/>
        </w:rPr>
        <w:t>Grupo 15 · Elías Delgado Manríquez y Rolando Aldana</w:t>
      </w:r>
    </w:p>
    <w:p>
      <w:pPr>
        <w:spacing w:after="40"/>
      </w:pPr>
      <w:r>
        <w:rPr>
          <w:rFonts w:ascii="Arial" w:hAnsi="Arial"/>
          <w:i/>
          <w:color w:val="404040"/>
          <w:sz w:val="19"/>
        </w:rPr>
        <w:t>Formato: la presentación se divide en dos tramos continuos. Elías abre y expone las diapositivas 1 a 6; Rolando toma la palabra y cierra con las diapositivas 7 a 12. Una sola entrada por persona, sin intercalar. Las líneas en cursiva son indicaciones, no se leen; hablen con sus palabras.</w:t>
      </w:r>
    </w:p>
    <w:p>
      <w:pPr>
        <w:pStyle w:val="Heading1"/>
      </w:pPr>
      <w:r>
        <w:t>Parte 1 · Apertura — Elías Delgado Manríquez (diapositivas 1–6)</w:t>
      </w:r>
    </w:p>
    <w:p>
      <w:pPr>
        <w:pStyle w:val="Heading2"/>
      </w:pPr>
      <w:r>
        <w:t>Diapositivas 1–2 · El caso en una idea</w:t>
      </w:r>
    </w:p>
    <w:p>
      <w:pPr>
        <w:spacing w:after="40"/>
      </w:pPr>
      <w:r>
        <w:rPr>
          <w:rFonts w:ascii="Arial" w:hAnsi="Arial"/>
          <w:i/>
          <w:color w:val="404040"/>
          <w:sz w:val="19"/>
        </w:rPr>
        <w:t>≈1 min</w:t>
      </w:r>
    </w:p>
    <w:p>
      <w:pPr>
        <w:jc w:val="both"/>
      </w:pPr>
      <w:r>
        <w:t>Buenos días. Presentamos la verificación de seguridad y calidad del Sistema Atlas, la plataforma que CreaLab desarrolla para que varias pymes gestionen clientes, contratos y documentos en un mismo lugar.</w:t>
      </w:r>
    </w:p>
    <w:p>
      <w:pPr>
        <w:jc w:val="both"/>
      </w:pPr>
      <w:r>
        <w:t>La idea que ordena todo el trabajo es una: Atlas guarda datos de varias empresas juntas, y cada empresa solo debe ver lo suyo. Por eso un defecto de control de acceso no es un detalle menor; el mismo defecto golpea a la vez la calidad, la seguridad y el cumplimiento de la ley, porque expone datos de terceros.</w:t>
      </w:r>
    </w:p>
    <w:p>
      <w:pPr>
        <w:pStyle w:val="Heading2"/>
      </w:pPr>
      <w:r>
        <w:t>Diapositiva 3 · Enfoque estratégico</w:t>
      </w:r>
    </w:p>
    <w:p>
      <w:pPr>
        <w:spacing w:after="40"/>
      </w:pPr>
      <w:r>
        <w:rPr>
          <w:rFonts w:ascii="Arial" w:hAnsi="Arial"/>
          <w:i/>
          <w:color w:val="404040"/>
          <w:sz w:val="19"/>
        </w:rPr>
        <w:t>≈1 min</w:t>
      </w:r>
    </w:p>
    <w:p>
      <w:pPr>
        <w:jc w:val="both"/>
      </w:pPr>
      <w:r>
        <w:t>Usamos un enfoque mixto basado en riesgo: parte automatizado y parte manual, más análisis estático. La prioridad no la pusimos por gusto; primero probamos lo que más expone datos personales y bancarios, que es el aislamiento entre empresas y la inyección.</w:t>
      </w:r>
    </w:p>
    <w:p>
      <w:pPr>
        <w:jc w:val="both"/>
      </w:pPr>
      <w:r>
        <w:t>Las pruebas corrieron sobre un ambiente QA local, levantado desde la especificación de requerimientos y desde nuestra propia colección de pruebas, porque al momento de la evaluación no teníamos habilitado un ambiente QA del sistema.</w:t>
      </w:r>
    </w:p>
    <w:p>
      <w:pPr>
        <w:pStyle w:val="Heading2"/>
      </w:pPr>
      <w:r>
        <w:t>Diapositiva 4 · Criterios y marcos de referencia</w:t>
      </w:r>
    </w:p>
    <w:p>
      <w:pPr>
        <w:spacing w:after="40"/>
      </w:pPr>
      <w:r>
        <w:rPr>
          <w:rFonts w:ascii="Arial" w:hAnsi="Arial"/>
          <w:i/>
          <w:color w:val="404040"/>
          <w:sz w:val="19"/>
        </w:rPr>
        <w:t>≈1 min</w:t>
      </w:r>
    </w:p>
    <w:p>
      <w:pPr>
        <w:jc w:val="both"/>
      </w:pPr>
      <w:r>
        <w:t>Nos apoyamos en tres marcos. ISO/IEC 25010 para la calidad del producto; OWASP para la seguridad; y las leyes 19.628 y 21.719 para el cumplimiento, porque Atlas trata datos personales y bancarios de terceros. El criterio de salida fue ejecutar el 100% de los casos y clasificar cada incidente por su criticidad.</w:t>
      </w:r>
    </w:p>
    <w:p>
      <w:pPr>
        <w:pStyle w:val="Heading2"/>
      </w:pPr>
      <w:r>
        <w:t>Diapositiva 5 · Herramientas y su justificación</w:t>
      </w:r>
    </w:p>
    <w:p>
      <w:pPr>
        <w:spacing w:after="40"/>
      </w:pPr>
      <w:r>
        <w:rPr>
          <w:rFonts w:ascii="Arial" w:hAnsi="Arial"/>
          <w:i/>
          <w:color w:val="404040"/>
          <w:sz w:val="19"/>
        </w:rPr>
        <w:t>≈1,5 min</w:t>
      </w:r>
    </w:p>
    <w:p>
      <w:pPr>
        <w:jc w:val="both"/>
      </w:pPr>
      <w:r>
        <w:t>Cada herramienta responde a un porqué. Postman con Newman, para ejecutar la colección de endpoints críticos con aserciones automáticas y repetibles. Docker con Compose, para levantar la API y la base de datos en contenedores aislados sobre HTTPS, reproducibles en cualquier equipo. Una prueba de carga concurrente, para medir la resiliencia con docker stats. Y cURL, para peticiones dirigidas que evidencian caso por caso.</w:t>
      </w:r>
    </w:p>
    <w:p>
      <w:pPr>
        <w:jc w:val="both"/>
      </w:pPr>
      <w:r>
        <w:t>A eso sumamos análisis estático: Semgrep sobre el código y npm audit sobre las dependencias, para revisar sin ejecutar la aplicación.</w:t>
      </w:r>
    </w:p>
    <w:p>
      <w:pPr>
        <w:pStyle w:val="Heading2"/>
      </w:pPr>
      <w:r>
        <w:t>Diapositiva 6 · Diseño de casos</w:t>
      </w:r>
    </w:p>
    <w:p>
      <w:pPr>
        <w:spacing w:after="40"/>
      </w:pPr>
      <w:r>
        <w:rPr>
          <w:rFonts w:ascii="Arial" w:hAnsi="Arial"/>
          <w:i/>
          <w:color w:val="404040"/>
          <w:sz w:val="19"/>
        </w:rPr>
        <w:t>≈1 min</w:t>
      </w:r>
    </w:p>
    <w:p>
      <w:pPr>
        <w:jc w:val="both"/>
      </w:pPr>
      <w:r>
        <w:t>Diseñamos seis casos representativos que cubren tipo funcional, de seguridad y no funcional, cada uno con su requerimiento, sus pasos y su criterio de aceptación. Con el diseño y la estrategia ya definidos, paso a la ejecución y los hallazgos.</w:t>
      </w:r>
    </w:p>
    <w:p>
      <w:pPr>
        <w:spacing w:before="80" w:after="80"/>
      </w:pPr>
      <w:r>
        <w:rPr>
          <w:rFonts w:ascii="Arial" w:hAnsi="Arial"/>
          <w:b/>
          <w:i/>
          <w:color w:val="B87A00"/>
          <w:sz w:val="20"/>
        </w:rPr>
        <w:t>→ Traspaso de la palabra a Rolando.</w:t>
      </w:r>
    </w:p>
    <w:p>
      <w:pPr>
        <w:pStyle w:val="Heading1"/>
      </w:pPr>
      <w:r>
        <w:t>Parte 2 · Cierre — Rolando Aldana (diapositivas 7–12)</w:t>
      </w:r>
    </w:p>
    <w:p>
      <w:pPr>
        <w:pStyle w:val="Heading2"/>
      </w:pPr>
      <w:r>
        <w:t>Diapositiva 7 · Ejecución de las pruebas</w:t>
      </w:r>
    </w:p>
    <w:p>
      <w:pPr>
        <w:spacing w:after="40"/>
      </w:pPr>
      <w:r>
        <w:rPr>
          <w:rFonts w:ascii="Arial" w:hAnsi="Arial"/>
          <w:i/>
          <w:color w:val="404040"/>
          <w:sz w:val="19"/>
        </w:rPr>
        <w:t>≈1,5 min</w:t>
      </w:r>
    </w:p>
    <w:p>
      <w:pPr>
        <w:jc w:val="both"/>
      </w:pPr>
      <w:r>
        <w:t>Gracias. Retomo desde la ejecución. Ejecutamos el 100% de los casos: cuatro quedaron en pase y dos en fallo. La suite automatizada arrojó 25 aserciones, de las cuales 7 fallaron, y esas 7 se concentran justo en los dos casos con hallazgo.</w:t>
      </w:r>
    </w:p>
    <w:p>
      <w:pPr>
        <w:jc w:val="both"/>
      </w:pPr>
      <w:r>
        <w:t>El resto pasó: la autenticación entrega un token seguro sobre HTTPS, con vigencia de 15 minutos y sin exponer la contraseña; el rol editor queda bloqueado al escribir, con 403; y la validación responde 201 con datos válidos y 422 con datos mal formados. El análisis estático complementó la corrida: Semgrep no halló patrones peligrosos en el código y npm audit detectó cuatro dependencias vulnerables.</w:t>
      </w:r>
    </w:p>
    <w:p>
      <w:pPr>
        <w:pStyle w:val="Heading2"/>
      </w:pPr>
      <w:r>
        <w:t>Diapositiva 8 · Hallazgo 1 — IDOR (Crítico)</w:t>
      </w:r>
    </w:p>
    <w:p>
      <w:pPr>
        <w:spacing w:after="40"/>
      </w:pPr>
      <w:r>
        <w:rPr>
          <w:rFonts w:ascii="Arial" w:hAnsi="Arial"/>
          <w:i/>
          <w:color w:val="404040"/>
          <w:sz w:val="19"/>
        </w:rPr>
        <w:t>≈1,5 min</w:t>
      </w:r>
    </w:p>
    <w:p>
      <w:pPr>
        <w:jc w:val="both"/>
      </w:pPr>
      <w:r>
        <w:t>El primer hallazgo, y el más grave, es un IDOR en el aislamiento entre empresas, criticidad Crítica. Con el token de la empresa 101 se pudo leer el cliente 5530, que pertenece a la empresa 102, y el sistema devolvió su RUT y su cuenta bancaria. Es un acceso indebido a datos de un tercero.</w:t>
      </w:r>
    </w:p>
    <w:p>
      <w:pPr>
        <w:pStyle w:val="Heading2"/>
      </w:pPr>
      <w:r>
        <w:t>Diapositiva 9 · Hallazgo 2 — Stored XSS (Grave)</w:t>
      </w:r>
    </w:p>
    <w:p>
      <w:pPr>
        <w:spacing w:after="40"/>
      </w:pPr>
      <w:r>
        <w:rPr>
          <w:rFonts w:ascii="Arial" w:hAnsi="Arial"/>
          <w:i/>
          <w:color w:val="404040"/>
          <w:sz w:val="19"/>
        </w:rPr>
        <w:t>≈1 min</w:t>
      </w:r>
    </w:p>
    <w:p>
      <w:pPr>
        <w:jc w:val="both"/>
      </w:pPr>
      <w:r>
        <w:t>El segundo hallazgo es un XSS almacenado, criticidad Grave. La descripción del cliente se guarda y se devuelve sin escapar, y la respuesta no incluye una política de seguridad de contenido. En ese mismo caso la inyección SQL quedó bloqueada y el intento desde otro origen se rechazó; el problema puntual es el XSS y la falta de CSP.</w:t>
      </w:r>
    </w:p>
    <w:p>
      <w:pPr>
        <w:pStyle w:val="Heading2"/>
      </w:pPr>
      <w:r>
        <w:t>Diapositiva 10 · Resiliencia y escala de criticidad</w:t>
      </w:r>
    </w:p>
    <w:p>
      <w:pPr>
        <w:spacing w:after="40"/>
      </w:pPr>
      <w:r>
        <w:rPr>
          <w:rFonts w:ascii="Arial" w:hAnsi="Arial"/>
          <w:i/>
          <w:color w:val="404040"/>
          <w:sz w:val="19"/>
        </w:rPr>
        <w:t>≈1 min</w:t>
      </w:r>
    </w:p>
    <w:p>
      <w:pPr>
        <w:jc w:val="both"/>
      </w:pPr>
      <w:r>
        <w:t>En lo no funcional, los contenedores resistieron 200 peticiones concurrentes sin caídas y con memoria estable; lo tomamos como indicador de resiliencia y disponibilidad. La escala de criticidad es clara: Crítico bloquea o expone datos de terceros y exige remediación inmediata; Grave es un vector explotable de corrección urgente.</w:t>
      </w:r>
    </w:p>
    <w:p>
      <w:pPr>
        <w:pStyle w:val="Heading2"/>
      </w:pPr>
      <w:r>
        <w:t>Diapositiva 11 · Reflexión ética y normativa</w:t>
      </w:r>
    </w:p>
    <w:p>
      <w:pPr>
        <w:spacing w:after="40"/>
      </w:pPr>
      <w:r>
        <w:rPr>
          <w:rFonts w:ascii="Arial" w:hAnsi="Arial"/>
          <w:i/>
          <w:color w:val="404040"/>
          <w:sz w:val="19"/>
        </w:rPr>
        <w:t>≈1,5 min</w:t>
      </w:r>
    </w:p>
    <w:p>
      <w:pPr>
        <w:jc w:val="both"/>
      </w:pPr>
      <w:r>
        <w:t>Lo técnico tiene consecuencia legal. El IDOR expone datos personales y bancarios de terceros; de mantenerse en producción, incumpliría la Ley 19.628 y expondría a CreaLab a un riesgo legal, no solo técnico. El XSS muestra que falta seguridad desde el diseño, que es justo lo que exige la Ley 21.719.</w:t>
      </w:r>
    </w:p>
    <w:p>
      <w:pPr>
        <w:jc w:val="both"/>
      </w:pPr>
      <w:r>
        <w:t>Por eso, ambas vulnerabilidades deben remediarse antes de pasar a producción: el IDOR, resolviendo la autorización en el backend, comparando la empresa del token con la del recurso en cada petición; el XSS, validando y escapando la entrada y agregando las cabeceras de seguridad.</w:t>
      </w:r>
    </w:p>
    <w:p>
      <w:pPr>
        <w:pStyle w:val="Heading2"/>
      </w:pPr>
      <w:r>
        <w:t>Diapositiva 12 · Cierre</w:t>
      </w:r>
    </w:p>
    <w:p>
      <w:pPr>
        <w:spacing w:after="40"/>
      </w:pPr>
      <w:r>
        <w:rPr>
          <w:rFonts w:ascii="Arial" w:hAnsi="Arial"/>
          <w:i/>
          <w:color w:val="404040"/>
          <w:sz w:val="19"/>
        </w:rPr>
        <w:t>≈30 s</w:t>
      </w:r>
    </w:p>
    <w:p>
      <w:pPr>
        <w:jc w:val="both"/>
      </w:pPr>
      <w:r>
        <w:t>En resumen: el control de acceso es la prioridad del caso, lo verificamos con evidencia y encontramos dos brechas con su criticidad y su remediación. Resueltos el IDOR y el XSS, Atlas queda en condiciones de avanzar. Quedamos atentos a sus preguntas.</w:t>
      </w:r>
    </w:p>
    <w:p>
      <w:pPr>
        <w:pStyle w:val="Heading1"/>
      </w:pPr>
      <w:r>
        <w:t>Preguntas probables (para ambos)</w:t>
      </w:r>
    </w:p>
    <w:p>
      <w:pPr>
        <w:spacing w:after="40"/>
      </w:pPr>
      <w:r>
        <w:rPr>
          <w:rFonts w:ascii="Arial" w:hAnsi="Arial"/>
          <w:i/>
          <w:color w:val="404040"/>
          <w:sz w:val="19"/>
        </w:rPr>
        <w:t>Respuestas cortas y honestas. Si no saben algo, díganlo y expliquen cómo lo averiguarían; no inventen.</w:t>
      </w:r>
    </w:p>
    <w:p>
      <w:pPr>
        <w:spacing w:after="20"/>
      </w:pPr>
      <w:r>
        <w:rPr>
          <w:rFonts w:ascii="Arial" w:hAnsi="Arial"/>
          <w:b/>
          <w:color w:val="1F3864"/>
        </w:rPr>
        <w:t xml:space="preserve">P: </w:t>
      </w:r>
      <w:r>
        <w:rPr>
          <w:rFonts w:ascii="Arial" w:hAnsi="Arial"/>
          <w:b/>
        </w:rPr>
        <w:t>¿Probaron el Atlas real o una réplica?</w:t>
      </w:r>
    </w:p>
    <w:p>
      <w:pPr>
        <w:spacing w:after="140"/>
        <w:jc w:val="both"/>
      </w:pPr>
      <w:r>
        <w:t>Sobre un ambiente QA local. No teníamos habilitado el ambiente del sistema, así que lo levantamos conforme a la especificación de requerimientos y a nuestra colección de pruebas, y ejecutamos sobre él. Reportamos exactamente lo que arrojó ese ambiente; el valor está en la metodología de verificación y en la evidencia.</w:t>
      </w:r>
    </w:p>
    <w:p>
      <w:pPr>
        <w:spacing w:after="20"/>
      </w:pPr>
      <w:r>
        <w:rPr>
          <w:rFonts w:ascii="Arial" w:hAnsi="Arial"/>
          <w:b/>
          <w:color w:val="1F3864"/>
        </w:rPr>
        <w:t xml:space="preserve">P: </w:t>
      </w:r>
      <w:r>
        <w:rPr>
          <w:rFonts w:ascii="Arial" w:hAnsi="Arial"/>
          <w:b/>
        </w:rPr>
        <w:t>¿Qué es un IDOR y por qué es crítico aquí?</w:t>
      </w:r>
    </w:p>
    <w:p>
      <w:pPr>
        <w:spacing w:after="140"/>
        <w:jc w:val="both"/>
      </w:pPr>
      <w:r>
        <w:t>Es acceder a un recurso cambiando su identificador, sin que el sistema valide que te corresponde. Es crítico porque rompe el aislamiento entre empresas y expone datos personales y bancarios de un tercero, que es justo lo que la ley protege.</w:t>
      </w:r>
    </w:p>
    <w:p>
      <w:pPr>
        <w:spacing w:after="20"/>
      </w:pPr>
      <w:r>
        <w:rPr>
          <w:rFonts w:ascii="Arial" w:hAnsi="Arial"/>
          <w:b/>
          <w:color w:val="1F3864"/>
        </w:rPr>
        <w:t xml:space="preserve">P: </w:t>
      </w:r>
      <w:r>
        <w:rPr>
          <w:rFonts w:ascii="Arial" w:hAnsi="Arial"/>
          <w:b/>
        </w:rPr>
        <w:t>¿Por qué el XSS es Grave y no Crítico?</w:t>
      </w:r>
    </w:p>
    <w:p>
      <w:pPr>
        <w:spacing w:after="140"/>
        <w:jc w:val="both"/>
      </w:pPr>
      <w:r>
        <w:t>Porque no bloquea el sistema ni, por sí solo, expone datos de terceros como el IDOR. Es un vector explotable que se dispararía si un frontend muestra el dato sin escaparlo; por eso es Grave y de corrección urgente, pero un escalón bajo el IDOR.</w:t>
      </w:r>
    </w:p>
    <w:p>
      <w:pPr>
        <w:spacing w:after="20"/>
      </w:pPr>
      <w:r>
        <w:rPr>
          <w:rFonts w:ascii="Arial" w:hAnsi="Arial"/>
          <w:b/>
          <w:color w:val="1F3864"/>
        </w:rPr>
        <w:t xml:space="preserve">P: </w:t>
      </w:r>
      <w:r>
        <w:rPr>
          <w:rFonts w:ascii="Arial" w:hAnsi="Arial"/>
          <w:b/>
        </w:rPr>
        <w:t>¿Hicieron análisis estático (SAST)?</w:t>
      </w:r>
    </w:p>
    <w:p>
      <w:pPr>
        <w:spacing w:after="140"/>
        <w:jc w:val="both"/>
      </w:pPr>
      <w:r>
        <w:t>Sí. Revisamos el código con Semgrep (reglas OWASP, Node.js y de secretos) y las dependencias con npm audit. En el código no hubo hallazgos, lo que es coherente con el uso de consultas parametrizadas; en dependencias aparecieron cuatro vulnerabilidades conocidas. Un detalle importante: el SAST no detectó el IDOR, porque un control de acceso ausente es un fallo de lógica, no un patrón de código; por eso la prueba dinámica fue clave.</w:t>
      </w:r>
    </w:p>
    <w:p>
      <w:pPr>
        <w:spacing w:after="20"/>
      </w:pPr>
      <w:r>
        <w:rPr>
          <w:rFonts w:ascii="Arial" w:hAnsi="Arial"/>
          <w:b/>
          <w:color w:val="1F3864"/>
        </w:rPr>
        <w:t xml:space="preserve">P: </w:t>
      </w:r>
      <w:r>
        <w:rPr>
          <w:rFonts w:ascii="Arial" w:hAnsi="Arial"/>
          <w:b/>
        </w:rPr>
        <w:t>¿Cómo se corrige el IDOR?</w:t>
      </w:r>
    </w:p>
    <w:p>
      <w:pPr>
        <w:spacing w:after="140"/>
        <w:jc w:val="both"/>
      </w:pPr>
      <w:r>
        <w:t>La autorización debe resolverse en el backend: en cada petición, comparar la empresa del token con la empresa del recurso pedido, y negar si no coinciden. No se puede confiar en el frontend, porque el cliente siempre es manipulable.</w:t>
      </w:r>
    </w:p>
    <w:p>
      <w:pPr>
        <w:spacing w:after="20"/>
      </w:pPr>
      <w:r>
        <w:rPr>
          <w:rFonts w:ascii="Arial" w:hAnsi="Arial"/>
          <w:b/>
          <w:color w:val="1F3864"/>
        </w:rPr>
        <w:t xml:space="preserve">P: </w:t>
      </w:r>
      <w:r>
        <w:rPr>
          <w:rFonts w:ascii="Arial" w:hAnsi="Arial"/>
          <w:b/>
        </w:rPr>
        <w:t>¿Qué cubre la prueba de carga?</w:t>
      </w:r>
    </w:p>
    <w:p>
      <w:pPr>
        <w:spacing w:after="140"/>
        <w:jc w:val="both"/>
      </w:pPr>
      <w:r>
        <w:t>Lanzamos 200 peticiones concurrentes a un endpoint de lectura y medimos los contenedores con docker stats. Las 200 respondieron sin reinicios y con memoria estable; lo tomamos como indicador de resiliencia y disponibilidad.</w:t>
      </w:r>
    </w:p>
    <w:p>
      <w:pPr>
        <w:spacing w:after="20"/>
      </w:pPr>
      <w:r>
        <w:rPr>
          <w:rFonts w:ascii="Arial" w:hAnsi="Arial"/>
          <w:b/>
          <w:color w:val="1F3864"/>
        </w:rPr>
        <w:t xml:space="preserve">P: </w:t>
      </w:r>
      <w:r>
        <w:rPr>
          <w:rFonts w:ascii="Arial" w:hAnsi="Arial"/>
          <w:b/>
        </w:rPr>
        <w:t>¿Por qué el JWT dura 15 minutos?</w:t>
      </w:r>
    </w:p>
    <w:p>
      <w:pPr>
        <w:spacing w:after="140"/>
        <w:jc w:val="both"/>
      </w:pPr>
      <w:r>
        <w:t>Es un token de sesión de corta vigencia. Si se filtra, la ventana para usarlo es acotada. Además verificamos que no viaja la contraseña ni el hash dentro del token.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jc w:val="both"/>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
      <w:outlineLvl w:val="0"/>
    </w:pPr>
    <w:rPr>
      <w:rFonts w:asciiTheme="majorHAnsi" w:eastAsiaTheme="majorEastAsia" w:hAnsiTheme="majorHAnsi" w:cstheme="majorBidi" w:ascii="Arial" w:hAnsi="Arial" w:cs="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Arial" w:hAnsi="Arial" w:cs="Arial"/>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