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700"/>
        <w:jc w:val="left"/>
        <w:rPr/>
      </w:pPr>
      <w:r>
        <w:rPr/>
        <w:drawing>
          <wp:inline distT="0" distB="0" distL="0" distR="0">
            <wp:extent cx="1809750" cy="4286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809750" cy="428625"/>
                    </a:xfrm>
                    <a:prstGeom prst="rect">
                      <a:avLst/>
                    </a:prstGeom>
                  </pic:spPr>
                </pic:pic>
              </a:graphicData>
            </a:graphic>
          </wp:inline>
        </w:drawing>
      </w:r>
    </w:p>
    <w:p>
      <w:pPr>
        <w:pStyle w:val="Normal"/>
        <w:spacing w:before="0" w:after="80"/>
        <w:rPr/>
      </w:pPr>
      <w:r>
        <w:rPr>
          <w:rFonts w:eastAsia="Arial" w:cs="Arial"/>
          <w:b/>
          <w:bCs/>
          <w:color w:val="1B2A4A"/>
          <w:sz w:val="56"/>
          <w:szCs w:val="56"/>
        </w:rPr>
        <w:t>Guion de exposición</w:t>
      </w:r>
    </w:p>
    <w:p>
      <w:pPr>
        <w:pStyle w:val="Normal"/>
        <w:spacing w:before="0" w:after="200"/>
        <w:rPr/>
      </w:pPr>
      <w:r>
        <w:rPr>
          <w:rFonts w:eastAsia="Arial" w:cs="Arial"/>
          <w:color w:val="44536C"/>
          <w:sz w:val="28"/>
          <w:szCs w:val="28"/>
        </w:rPr>
        <w:t>Plan de pruebas del Sistema de Gestión Atlas</w:t>
      </w:r>
    </w:p>
    <w:p>
      <w:pPr>
        <w:pStyle w:val="Normal"/>
        <w:pBdr>
          <w:bottom w:val="single" w:sz="12" w:space="10" w:color="C8860B"/>
        </w:pBdr>
        <w:spacing w:before="0" w:after="500"/>
        <w:rPr/>
      </w:pPr>
      <w:r>
        <w:rPr/>
      </w:r>
    </w:p>
    <w:p>
      <w:pPr>
        <w:pStyle w:val="Normal"/>
        <w:spacing w:lineRule="exact" w:line="340" w:before="0" w:after="60"/>
        <w:jc w:val="left"/>
        <w:rPr/>
      </w:pPr>
      <w:r>
        <w:rPr>
          <w:rFonts w:eastAsia="Arial" w:cs="Arial"/>
          <w:b/>
          <w:bCs/>
          <w:sz w:val="22"/>
          <w:szCs w:val="22"/>
        </w:rPr>
        <w:t>ISY1102 · Seguridad y Calidad en el Desarrollo de Software · Sección 004V</w:t>
      </w:r>
    </w:p>
    <w:p>
      <w:pPr>
        <w:pStyle w:val="Normal"/>
        <w:spacing w:lineRule="exact" w:line="340" w:before="0" w:after="260"/>
        <w:jc w:val="left"/>
        <w:rPr/>
      </w:pPr>
      <w:r>
        <w:rPr>
          <w:rFonts w:eastAsia="Arial" w:cs="Arial"/>
          <w:color w:val="44536C"/>
          <w:sz w:val="22"/>
          <w:szCs w:val="22"/>
        </w:rPr>
        <w:t>Evaluación Parcial 1 · Caso semestral, Forma A</w:t>
      </w:r>
    </w:p>
    <w:p>
      <w:pPr>
        <w:pStyle w:val="Normal"/>
        <w:spacing w:lineRule="exact" w:line="340" w:before="0" w:after="60"/>
        <w:jc w:val="left"/>
        <w:rPr/>
      </w:pPr>
      <w:r>
        <w:rPr>
          <w:rFonts w:eastAsia="Arial" w:cs="Arial"/>
          <w:sz w:val="22"/>
          <w:szCs w:val="22"/>
        </w:rPr>
        <w:t>Expositores: Elías Delgado Manríquez (láminas 1 a 6) y Rolando Aldana (láminas 7 a 11). El cierre de la lámina 12 es compartido.</w:t>
      </w:r>
    </w:p>
    <w:p>
      <w:pPr>
        <w:pStyle w:val="Normal"/>
        <w:spacing w:lineRule="exact" w:line="340" w:before="0" w:after="140"/>
        <w:jc w:val="left"/>
        <w:rPr/>
      </w:pPr>
      <w:r>
        <w:rPr>
          <w:rFonts w:eastAsia="Arial" w:cs="Arial"/>
          <w:sz w:val="22"/>
          <w:szCs w:val="22"/>
        </w:rPr>
        <w:t>Duración total estimada: 10 a 12 minutos.</w:t>
      </w:r>
    </w:p>
    <w:p>
      <w:pPr>
        <w:pStyle w:val="Normal"/>
        <w:rPr/>
      </w:pPr>
      <w:r>
        <w:rPr/>
      </w:r>
      <w:r>
        <w:br w:type="page"/>
      </w:r>
    </w:p>
    <w:p>
      <w:pPr>
        <w:pStyle w:val="Heading1"/>
        <w:spacing w:before="0" w:after="200"/>
        <w:rPr/>
      </w:pPr>
      <w:r>
        <w:rPr>
          <w:rFonts w:eastAsia="Arial" w:cs="Arial" w:ascii="Arial" w:hAnsi="Arial"/>
          <w:sz w:val="22"/>
          <w:szCs w:val="22"/>
        </w:rPr>
        <w:t>1. Cómo usar este guion</w:t>
      </w:r>
    </w:p>
    <w:p>
      <w:pPr>
        <w:pStyle w:val="Normal"/>
        <w:spacing w:lineRule="exact" w:line="340" w:before="0" w:after="140"/>
        <w:jc w:val="both"/>
        <w:rPr/>
      </w:pPr>
      <w:r>
        <w:rPr>
          <w:rFonts w:eastAsia="Arial" w:cs="Arial"/>
          <w:sz w:val="22"/>
          <w:szCs w:val="22"/>
        </w:rPr>
        <w:t>El texto sugerido de cada lámina está escrito para decirse en voz alta, no para leerse. Conviene ensayarlo una vez completo y después quedarse solo con los conceptos clave, que son las palabras que el docente está esperando escuchar. La presentación incluye estas mismas notas resumidas: se abren con la tecla N.</w:t>
      </w:r>
    </w:p>
    <w:p>
      <w:pPr>
        <w:pStyle w:val="Normal"/>
        <w:spacing w:lineRule="exact" w:line="340" w:before="0" w:after="120"/>
        <w:jc w:val="both"/>
        <w:rPr/>
      </w:pPr>
      <w:r>
        <w:rPr>
          <w:rFonts w:eastAsia="Arial" w:cs="Arial"/>
          <w:b/>
          <w:bCs/>
          <w:sz w:val="22"/>
          <w:szCs w:val="22"/>
        </w:rPr>
        <w:t xml:space="preserve">Ritmo. </w:t>
      </w:r>
      <w:r>
        <w:rPr>
          <w:rFonts w:eastAsia="Arial" w:cs="Arial"/>
          <w:sz w:val="22"/>
          <w:szCs w:val="22"/>
        </w:rPr>
        <w:t>Cada lámina dura entre 40 y 60 segundos. Si una se alarga, la siguiente se acorta: lo que no se puede perder es la lámina 10, que es el entregable central de la evaluación.</w:t>
      </w:r>
    </w:p>
    <w:p>
      <w:pPr>
        <w:pStyle w:val="Normal"/>
        <w:spacing w:lineRule="exact" w:line="340" w:before="0" w:after="120"/>
        <w:jc w:val="both"/>
        <w:rPr/>
      </w:pPr>
      <w:r>
        <w:rPr>
          <w:rFonts w:eastAsia="Arial" w:cs="Arial"/>
          <w:b/>
          <w:bCs/>
          <w:sz w:val="22"/>
          <w:szCs w:val="22"/>
        </w:rPr>
        <w:t xml:space="preserve">Nunca leer la diapositiva. </w:t>
      </w:r>
      <w:r>
        <w:rPr>
          <w:rFonts w:eastAsia="Arial" w:cs="Arial"/>
          <w:sz w:val="22"/>
          <w:szCs w:val="22"/>
        </w:rPr>
        <w:t>El titular ya está escrito y el curso lo lee más rápido que tú. La voz aporta el ejemplo, el dato o la consecuencia que no aparece en pantalla.</w:t>
      </w:r>
    </w:p>
    <w:p>
      <w:pPr>
        <w:pStyle w:val="Normal"/>
        <w:spacing w:lineRule="exact" w:line="340" w:before="0" w:after="120"/>
        <w:jc w:val="both"/>
        <w:rPr/>
      </w:pPr>
      <w:r>
        <w:rPr>
          <w:rFonts w:eastAsia="Arial" w:cs="Arial"/>
          <w:b/>
          <w:bCs/>
          <w:sz w:val="22"/>
          <w:szCs w:val="22"/>
        </w:rPr>
        <w:t xml:space="preserve">Nombrar los códigos. </w:t>
      </w:r>
      <w:r>
        <w:rPr>
          <w:rFonts w:eastAsia="Arial" w:cs="Arial"/>
          <w:sz w:val="22"/>
          <w:szCs w:val="22"/>
        </w:rPr>
        <w:t>Cada vez que se menciona una función o un criterio, decir su código: RF-4.1, NFR-SEG-4, RB-2, CP-03. Es la forma más directa de mostrar que el plan está trazado y no improvisado.</w:t>
      </w:r>
    </w:p>
    <w:p>
      <w:pPr>
        <w:pStyle w:val="Normal"/>
        <w:spacing w:lineRule="exact" w:line="340" w:before="0" w:after="120"/>
        <w:jc w:val="both"/>
        <w:rPr/>
      </w:pPr>
      <w:r>
        <w:rPr>
          <w:rFonts w:eastAsia="Arial" w:cs="Arial"/>
          <w:b/>
          <w:bCs/>
          <w:sz w:val="22"/>
          <w:szCs w:val="22"/>
        </w:rPr>
        <w:t xml:space="preserve">Hablar de decisiones, no de tareas. </w:t>
      </w:r>
      <w:r>
        <w:rPr>
          <w:rFonts w:eastAsia="Arial" w:cs="Arial"/>
          <w:sz w:val="22"/>
          <w:szCs w:val="22"/>
        </w:rPr>
        <w:t>En vez de "hicimos nueve casos", decir "priorizamos los casos donde se exponen datos de terceros". La rúbrica evalúa criterio, no cantidad.</w:t>
      </w:r>
    </w:p>
    <w:p>
      <w:pPr>
        <w:pStyle w:val="Normal"/>
        <w:spacing w:lineRule="exact" w:line="340" w:before="0" w:after="120"/>
        <w:jc w:val="both"/>
        <w:rPr/>
      </w:pPr>
      <w:r>
        <w:rPr>
          <w:rFonts w:eastAsia="Arial" w:cs="Arial"/>
          <w:b/>
          <w:bCs/>
          <w:sz w:val="22"/>
          <w:szCs w:val="22"/>
        </w:rPr>
        <w:t xml:space="preserve">Marcar los supuestos. </w:t>
      </w:r>
      <w:r>
        <w:rPr>
          <w:rFonts w:eastAsia="Arial" w:cs="Arial"/>
          <w:sz w:val="22"/>
          <w:szCs w:val="22"/>
        </w:rPr>
        <w:t>Los cuatro supuestos de la lámina 6 son aporte del equipo, no están en la ERS. Decirlo explícitamente evita que parezcan un error de lectura.</w:t>
      </w:r>
    </w:p>
    <w:p>
      <w:pPr>
        <w:pStyle w:val="Normal"/>
        <w:spacing w:lineRule="exact" w:line="340" w:before="0" w:after="120"/>
        <w:jc w:val="both"/>
        <w:rPr/>
      </w:pPr>
      <w:r>
        <w:rPr>
          <w:rFonts w:eastAsia="Arial" w:cs="Arial"/>
          <w:b/>
          <w:bCs/>
          <w:sz w:val="22"/>
          <w:szCs w:val="22"/>
        </w:rPr>
        <w:t xml:space="preserve">El relevo. </w:t>
      </w:r>
      <w:r>
        <w:rPr>
          <w:rFonts w:eastAsia="Arial" w:cs="Arial"/>
          <w:sz w:val="22"/>
          <w:szCs w:val="22"/>
        </w:rPr>
        <w:t>La lámina 6 cierra con una frase que entrega la palabra; la 7 abre agradeciendo. Ensayarlo una vez: es lo que más se nota cuando falla.</w:t>
      </w:r>
    </w:p>
    <w:p>
      <w:pPr>
        <w:pStyle w:val="Normal"/>
        <w:spacing w:lineRule="exact" w:line="340" w:before="0" w:after="120"/>
        <w:jc w:val="both"/>
        <w:rPr/>
      </w:pPr>
      <w:r>
        <w:rPr>
          <w:rFonts w:eastAsia="Arial" w:cs="Arial"/>
          <w:b/>
          <w:bCs/>
          <w:sz w:val="22"/>
          <w:szCs w:val="22"/>
        </w:rPr>
        <w:t xml:space="preserve">Manos y mirada. </w:t>
      </w:r>
      <w:r>
        <w:rPr>
          <w:rFonts w:eastAsia="Arial" w:cs="Arial"/>
          <w:sz w:val="22"/>
          <w:szCs w:val="22"/>
        </w:rPr>
        <w:t>Mirar al curso, no a la proyección. Si hay que señalar algo, señalar el computador o usar el cursor, sin darle la espalda al público.</w:t>
      </w:r>
    </w:p>
    <w:p>
      <w:pPr>
        <w:pStyle w:val="Normal"/>
        <w:spacing w:lineRule="exact" w:line="340" w:before="0" w:after="120"/>
        <w:jc w:val="both"/>
        <w:rPr/>
      </w:pPr>
      <w:r>
        <w:rPr>
          <w:rFonts w:eastAsia="Arial" w:cs="Arial"/>
          <w:b/>
          <w:bCs/>
          <w:sz w:val="22"/>
          <w:szCs w:val="22"/>
        </w:rPr>
        <w:t xml:space="preserve">Preguntas. </w:t>
      </w:r>
      <w:r>
        <w:rPr>
          <w:rFonts w:eastAsia="Arial" w:cs="Arial"/>
          <w:sz w:val="22"/>
          <w:szCs w:val="22"/>
        </w:rPr>
        <w:t>Si no saben una respuesta, decir en qué parte del informe está y ofrecer revisarla. Es mejor que inventar un dato que contradiga el documento.</w:t>
      </w:r>
    </w:p>
    <w:p>
      <w:pPr>
        <w:pStyle w:val="Heading1"/>
        <w:rPr/>
      </w:pPr>
      <w:r>
        <w:rPr>
          <w:rFonts w:eastAsia="Arial" w:cs="Arial" w:ascii="Arial" w:hAnsi="Arial"/>
          <w:sz w:val="22"/>
          <w:szCs w:val="22"/>
        </w:rPr>
        <w:t>2. Reparto y tiempos</w:t>
      </w:r>
    </w:p>
    <w:p>
      <w:pPr>
        <w:pStyle w:val="Normal"/>
        <w:spacing w:lineRule="exact" w:line="340" w:before="0" w:after="140"/>
        <w:jc w:val="both"/>
        <w:rPr/>
      </w:pPr>
      <w:r>
        <w:rPr>
          <w:rFonts w:eastAsia="Arial" w:cs="Arial"/>
          <w:sz w:val="22"/>
          <w:szCs w:val="22"/>
        </w:rPr>
        <w:t>El reparto sigue el orden del informe: Elías cubre el análisis y el marco normativo; Rolando, la estrategia, los casos y la cobertura.</w:t>
      </w:r>
    </w:p>
    <w:tbl>
      <w:tblPr>
        <w:tblW w:w="9026" w:type="dxa"/>
        <w:jc w:val="left"/>
        <w:tblInd w:w="0" w:type="dxa"/>
        <w:tblLayout w:type="fixed"/>
        <w:tblCellMar>
          <w:top w:w="60" w:type="dxa"/>
          <w:left w:w="100" w:type="dxa"/>
          <w:bottom w:w="60" w:type="dxa"/>
          <w:right w:w="100" w:type="dxa"/>
        </w:tblCellMar>
      </w:tblPr>
      <w:tblGrid>
        <w:gridCol w:w="799"/>
        <w:gridCol w:w="4601"/>
        <w:gridCol w:w="2400"/>
        <w:gridCol w:w="1225"/>
      </w:tblGrid>
      <w:tr>
        <w:trPr>
          <w:tblHeader w:val="true"/>
        </w:trPr>
        <w:tc>
          <w:tcPr>
            <w:tcW w:w="799" w:type="dxa"/>
            <w:tcBorders>
              <w:top w:val="single" w:sz="4" w:space="0" w:color="C9D0DB"/>
              <w:left w:val="single" w:sz="4" w:space="0" w:color="C9D0DB"/>
              <w:bottom w:val="single" w:sz="4" w:space="0" w:color="C9D0DB"/>
              <w:right w:val="single" w:sz="4" w:space="0" w:color="C9D0DB"/>
            </w:tcBorders>
            <w:shd w:color="auto" w:fill="1B2A4A" w:val="clear"/>
          </w:tcPr>
          <w:p>
            <w:pPr>
              <w:pStyle w:val="Normal"/>
              <w:spacing w:lineRule="exact" w:line="280"/>
              <w:rPr/>
            </w:pPr>
            <w:r>
              <w:rPr>
                <w:rFonts w:eastAsia="Arial" w:cs="Arial"/>
                <w:b/>
                <w:bCs/>
                <w:color w:val="FFFFFF"/>
                <w:sz w:val="19"/>
                <w:szCs w:val="19"/>
              </w:rPr>
              <w:t>N°</w:t>
            </w:r>
          </w:p>
        </w:tc>
        <w:tc>
          <w:tcPr>
            <w:tcW w:w="4601" w:type="dxa"/>
            <w:tcBorders>
              <w:top w:val="single" w:sz="4" w:space="0" w:color="C9D0DB"/>
              <w:left w:val="single" w:sz="4" w:space="0" w:color="C9D0DB"/>
              <w:bottom w:val="single" w:sz="4" w:space="0" w:color="C9D0DB"/>
              <w:right w:val="single" w:sz="4" w:space="0" w:color="C9D0DB"/>
            </w:tcBorders>
            <w:shd w:color="auto" w:fill="1B2A4A" w:val="clear"/>
          </w:tcPr>
          <w:p>
            <w:pPr>
              <w:pStyle w:val="Normal"/>
              <w:spacing w:lineRule="exact" w:line="280"/>
              <w:rPr/>
            </w:pPr>
            <w:r>
              <w:rPr>
                <w:rFonts w:eastAsia="Arial" w:cs="Arial"/>
                <w:b/>
                <w:bCs/>
                <w:color w:val="FFFFFF"/>
                <w:sz w:val="19"/>
                <w:szCs w:val="19"/>
              </w:rPr>
              <w:t>Diapositiva</w:t>
            </w:r>
          </w:p>
        </w:tc>
        <w:tc>
          <w:tcPr>
            <w:tcW w:w="2400" w:type="dxa"/>
            <w:tcBorders>
              <w:top w:val="single" w:sz="4" w:space="0" w:color="C9D0DB"/>
              <w:left w:val="single" w:sz="4" w:space="0" w:color="C9D0DB"/>
              <w:bottom w:val="single" w:sz="4" w:space="0" w:color="C9D0DB"/>
              <w:right w:val="single" w:sz="4" w:space="0" w:color="C9D0DB"/>
            </w:tcBorders>
            <w:shd w:color="auto" w:fill="1B2A4A" w:val="clear"/>
          </w:tcPr>
          <w:p>
            <w:pPr>
              <w:pStyle w:val="Normal"/>
              <w:spacing w:lineRule="exact" w:line="280"/>
              <w:rPr/>
            </w:pPr>
            <w:r>
              <w:rPr>
                <w:rFonts w:eastAsia="Arial" w:cs="Arial"/>
                <w:b/>
                <w:bCs/>
                <w:color w:val="FFFFFF"/>
                <w:sz w:val="19"/>
                <w:szCs w:val="19"/>
              </w:rPr>
              <w:t>Expone</w:t>
            </w:r>
          </w:p>
        </w:tc>
        <w:tc>
          <w:tcPr>
            <w:tcW w:w="1225" w:type="dxa"/>
            <w:tcBorders>
              <w:top w:val="single" w:sz="4" w:space="0" w:color="C9D0DB"/>
              <w:left w:val="single" w:sz="4" w:space="0" w:color="C9D0DB"/>
              <w:bottom w:val="single" w:sz="4" w:space="0" w:color="C9D0DB"/>
              <w:right w:val="single" w:sz="4" w:space="0" w:color="C9D0DB"/>
            </w:tcBorders>
            <w:shd w:color="auto" w:fill="1B2A4A" w:val="clear"/>
          </w:tcPr>
          <w:p>
            <w:pPr>
              <w:pStyle w:val="Normal"/>
              <w:spacing w:lineRule="exact" w:line="280"/>
              <w:rPr/>
            </w:pPr>
            <w:r>
              <w:rPr>
                <w:rFonts w:eastAsia="Arial" w:cs="Arial"/>
                <w:b/>
                <w:bCs/>
                <w:color w:val="FFFFFF"/>
                <w:sz w:val="19"/>
                <w:szCs w:val="19"/>
              </w:rPr>
              <w:t>Tiempo</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1</w:t>
            </w:r>
          </w:p>
        </w:tc>
        <w:tc>
          <w:tcPr>
            <w:tcW w:w="4601"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Portada</w:t>
            </w:r>
          </w:p>
        </w:tc>
        <w:tc>
          <w:tcPr>
            <w:tcW w:w="2400"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Elías</w:t>
            </w:r>
          </w:p>
        </w:tc>
        <w:tc>
          <w:tcPr>
            <w:tcW w:w="1225"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0:20</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2</w:t>
            </w:r>
          </w:p>
        </w:tc>
        <w:tc>
          <w:tcPr>
            <w:tcW w:w="4601"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El sistema bajo prueba</w:t>
            </w:r>
          </w:p>
        </w:tc>
        <w:tc>
          <w:tcPr>
            <w:tcW w:w="2400"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Elías</w:t>
            </w:r>
          </w:p>
        </w:tc>
        <w:tc>
          <w:tcPr>
            <w:tcW w:w="1225"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0:50</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3</w:t>
            </w:r>
          </w:p>
        </w:tc>
        <w:tc>
          <w:tcPr>
            <w:tcW w:w="4601"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Clasificación del producto</w:t>
            </w:r>
          </w:p>
        </w:tc>
        <w:tc>
          <w:tcPr>
            <w:tcW w:w="2400"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Elías</w:t>
            </w:r>
          </w:p>
        </w:tc>
        <w:tc>
          <w:tcPr>
            <w:tcW w:w="1225"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0:50</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4</w:t>
            </w:r>
          </w:p>
        </w:tc>
        <w:tc>
          <w:tcPr>
            <w:tcW w:w="4601"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Criterios de calidad</w:t>
            </w:r>
          </w:p>
        </w:tc>
        <w:tc>
          <w:tcPr>
            <w:tcW w:w="2400"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Elías</w:t>
            </w:r>
          </w:p>
        </w:tc>
        <w:tc>
          <w:tcPr>
            <w:tcW w:w="1225"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0:50</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5</w:t>
            </w:r>
          </w:p>
        </w:tc>
        <w:tc>
          <w:tcPr>
            <w:tcW w:w="4601"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Seguridad y marco normativo</w:t>
            </w:r>
          </w:p>
        </w:tc>
        <w:tc>
          <w:tcPr>
            <w:tcW w:w="2400"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Elías</w:t>
            </w:r>
          </w:p>
        </w:tc>
        <w:tc>
          <w:tcPr>
            <w:tcW w:w="1225"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0:55</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6</w:t>
            </w:r>
          </w:p>
        </w:tc>
        <w:tc>
          <w:tcPr>
            <w:tcW w:w="4601"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Hallazgo del análisis</w:t>
            </w:r>
          </w:p>
        </w:tc>
        <w:tc>
          <w:tcPr>
            <w:tcW w:w="2400"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Elías</w:t>
            </w:r>
          </w:p>
        </w:tc>
        <w:tc>
          <w:tcPr>
            <w:tcW w:w="1225"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0:55</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7</w:t>
            </w:r>
          </w:p>
        </w:tc>
        <w:tc>
          <w:tcPr>
            <w:tcW w:w="4601"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Estrategia</w:t>
            </w:r>
          </w:p>
        </w:tc>
        <w:tc>
          <w:tcPr>
            <w:tcW w:w="2400"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Rolando</w:t>
            </w:r>
          </w:p>
        </w:tc>
        <w:tc>
          <w:tcPr>
            <w:tcW w:w="1225"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0:55</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8</w:t>
            </w:r>
          </w:p>
        </w:tc>
        <w:tc>
          <w:tcPr>
            <w:tcW w:w="4601"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Tipos de prueba</w:t>
            </w:r>
          </w:p>
        </w:tc>
        <w:tc>
          <w:tcPr>
            <w:tcW w:w="2400"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Rolando</w:t>
            </w:r>
          </w:p>
        </w:tc>
        <w:tc>
          <w:tcPr>
            <w:tcW w:w="1225"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0:50</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9</w:t>
            </w:r>
          </w:p>
        </w:tc>
        <w:tc>
          <w:tcPr>
            <w:tcW w:w="4601"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Prioridades y criterios de salida</w:t>
            </w:r>
          </w:p>
        </w:tc>
        <w:tc>
          <w:tcPr>
            <w:tcW w:w="2400"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Rolando</w:t>
            </w:r>
          </w:p>
        </w:tc>
        <w:tc>
          <w:tcPr>
            <w:tcW w:w="1225"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0:55</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10</w:t>
            </w:r>
          </w:p>
        </w:tc>
        <w:tc>
          <w:tcPr>
            <w:tcW w:w="4601"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Diseño de casos</w:t>
            </w:r>
          </w:p>
        </w:tc>
        <w:tc>
          <w:tcPr>
            <w:tcW w:w="2400"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Rolando</w:t>
            </w:r>
          </w:p>
        </w:tc>
        <w:tc>
          <w:tcPr>
            <w:tcW w:w="1225"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1:00</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11</w:t>
            </w:r>
          </w:p>
        </w:tc>
        <w:tc>
          <w:tcPr>
            <w:tcW w:w="4601"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Cobertura y trazabilidad</w:t>
            </w:r>
          </w:p>
        </w:tc>
        <w:tc>
          <w:tcPr>
            <w:tcW w:w="2400"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Rolando</w:t>
            </w:r>
          </w:p>
        </w:tc>
        <w:tc>
          <w:tcPr>
            <w:tcW w:w="1225"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0:50</w:t>
            </w:r>
          </w:p>
        </w:tc>
      </w:tr>
      <w:tr>
        <w:trPr>
          <w:cantSplit w:val="true"/>
        </w:trPr>
        <w:tc>
          <w:tcPr>
            <w:tcW w:w="799"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12</w:t>
            </w:r>
          </w:p>
        </w:tc>
        <w:tc>
          <w:tcPr>
            <w:tcW w:w="4601"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Cierre</w:t>
            </w:r>
          </w:p>
        </w:tc>
        <w:tc>
          <w:tcPr>
            <w:tcW w:w="2400"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Ambos</w:t>
            </w:r>
          </w:p>
        </w:tc>
        <w:tc>
          <w:tcPr>
            <w:tcW w:w="1225"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0:45</w:t>
            </w:r>
          </w:p>
        </w:tc>
      </w:tr>
    </w:tbl>
    <w:p>
      <w:pPr>
        <w:pStyle w:val="Normal"/>
        <w:spacing w:before="0" w:after="260"/>
        <w:rPr/>
      </w:pPr>
      <w:r>
        <w:rPr/>
      </w:r>
    </w:p>
    <w:p>
      <w:pPr>
        <w:pStyle w:val="Heading1"/>
        <w:rPr/>
      </w:pPr>
      <w:r>
        <w:rPr>
          <w:rFonts w:eastAsia="Arial" w:cs="Arial" w:ascii="Arial" w:hAnsi="Arial"/>
          <w:sz w:val="22"/>
          <w:szCs w:val="22"/>
        </w:rPr>
        <w:t>3. Guion lámina por lámina</w:t>
      </w:r>
    </w:p>
    <w:p>
      <w:pPr>
        <w:pStyle w:val="Heading2"/>
        <w:rPr/>
      </w:pPr>
      <w:r>
        <w:rPr>
          <w:rFonts w:eastAsia="Arial" w:cs="Arial" w:ascii="Arial" w:hAnsi="Arial"/>
          <w:sz w:val="22"/>
          <w:szCs w:val="22"/>
        </w:rPr>
        <w:t>Diapositiva 1 · Portada</w:t>
      </w:r>
    </w:p>
    <w:p>
      <w:pPr>
        <w:pStyle w:val="Normal"/>
        <w:spacing w:lineRule="exact" w:line="340" w:before="0" w:after="120"/>
        <w:jc w:val="left"/>
        <w:rPr/>
      </w:pPr>
      <w:r>
        <w:rPr>
          <w:rFonts w:eastAsia="Arial" w:cs="Arial"/>
          <w:b/>
          <w:bCs/>
          <w:color w:val="C8860B"/>
          <w:sz w:val="19"/>
          <w:szCs w:val="19"/>
        </w:rPr>
        <w:t>Elías Delgado · 20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Presentar al equipo y encuadrar la evaluación antes de entrar en materia.</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Buenas tardes. Somos Elías Delgado y Rolando Aldana, de la sección 004V. Presentamos el plan de pruebas de la Evaluación Parcial 1, sobre el Sistema de Gestión Atlas, que corresponde a la Forma A del caso semestral.</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Evaluación Parcial 1 · Forma A · Atlas · CreaLab SpA</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No profundizar aquí. Si el docente pregunta por el alcance, remitir a la lámina 2 y seguir.</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Empezar con disculpas o con el detalle técnico antes de decir quiénes son.</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2 · El sistema bajo prueba</w:t>
      </w:r>
    </w:p>
    <w:p>
      <w:pPr>
        <w:pStyle w:val="Normal"/>
        <w:spacing w:lineRule="exact" w:line="340" w:before="0" w:after="120"/>
        <w:jc w:val="left"/>
        <w:rPr/>
      </w:pPr>
      <w:r>
        <w:rPr>
          <w:rFonts w:eastAsia="Arial" w:cs="Arial"/>
          <w:b/>
          <w:bCs/>
          <w:color w:val="C8860B"/>
          <w:sz w:val="19"/>
          <w:szCs w:val="19"/>
        </w:rPr>
        <w:t>Elías Delgado · 50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Dar el contexto mínimo para que todo lo demás se entienda: qué hace Atlas y con qué está construido.</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Atlas es una plataforma donde varias pymes administran sus clientes, sus contratos y los documentos asociados. Por dentro es una aplicación de página única en React que consume una API REST en Express, sobre PostgreSQL. La sesión usa JWT de corta vigencia, las contraseñas se guardan con bcrypt y todo el tráfico va por TLS. Tres cosas condicionan las pruebas: hay dos roles, administrador y editor, donde el editor solo consulta; se guardan datos bancarios de los clientes de cada empresa; y la ERS pide atención explícita a los usuarios adultos mayores.</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SPA · API REST · PostgreSQL · JWT · bcrypt · TLS · RB-2 · RB-4 · NFR-USAB</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Si hay tiempo o interés: explicar que el almacenamiento de documentos es interno y que en la base de datos solo queda la referencia, porque eso es lo que después prueba el caso de integración. También se puede mencionar que las versiones exactas del stack están en la sección 4 de la ERS.</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Enumerar todas las librerías. El stack importa por lo que implica para las pruebas, no como lista.</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3 · Clasificación del producto</w:t>
      </w:r>
    </w:p>
    <w:p>
      <w:pPr>
        <w:pStyle w:val="Normal"/>
        <w:spacing w:lineRule="exact" w:line="340" w:before="0" w:after="120"/>
        <w:jc w:val="left"/>
        <w:rPr/>
      </w:pPr>
      <w:r>
        <w:rPr>
          <w:rFonts w:eastAsia="Arial" w:cs="Arial"/>
          <w:b/>
          <w:bCs/>
          <w:color w:val="C8860B"/>
          <w:sz w:val="19"/>
          <w:szCs w:val="19"/>
        </w:rPr>
        <w:t>Elías Delgado · 50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Mostrar el razonamiento que ordena el plan completo. Es la lámina que justifica por qué la seguridad quedó primero.</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Clasificamos Atlas en los tres ejes del ramo. En calidad es un sistema transaccional de criticidad media-alta. En seguridad es una plataforma multiempresa con datos personales y bancarios. Y en cumplimiento es responsable del tratamiento de datos de terceros bajo ley chilena. Lo importante es la consecuencia: si una empresa alcanza los datos de otra, ese único defecto es al mismo tiempo una falla funcional, un problema de seguridad y un incumplimiento legal. Por eso el control de acceso quedó como prioridad uno.</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Criticidad media-alta · multiempresa · responsable del tratamiento · defecto de autorización</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Si preguntan cómo se clasificó: la criticidad sale de cruzar el tipo de dato que se maneja con el impacto de una falla. Aquí el dato es de terceros, o sea que el perjudicado no es el usuario del sistema sino el cliente de la pyme, y eso sube la criticidad.</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Leer la tabla en voz alta. La tabla se muestra; lo que se explica es la consecuencia.</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4 · Criterios de calidad</w:t>
      </w:r>
    </w:p>
    <w:p>
      <w:pPr>
        <w:pStyle w:val="Normal"/>
        <w:spacing w:lineRule="exact" w:line="340" w:before="0" w:after="120"/>
        <w:jc w:val="left"/>
        <w:rPr/>
      </w:pPr>
      <w:r>
        <w:rPr>
          <w:rFonts w:eastAsia="Arial" w:cs="Arial"/>
          <w:b/>
          <w:bCs/>
          <w:color w:val="C8860B"/>
          <w:sz w:val="19"/>
          <w:szCs w:val="19"/>
        </w:rPr>
        <w:t>Elías Delgado · 50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Demostrar que los criterios son medibles y están tomados de un modelo reconocido.</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Usamos ISO/IEC 25010 como modelo de calidad, pero nos quedamos solo con las características donde la ERS entrega un umbral verificable: 300 milisegundos de percentil 95 en operaciones CRUD, dos segundos de carga en red móvil, 200 usuarios concurrentes y 99,5 % de disponibilidad. El puntaje SUS de 70 lo propusimos nosotros, porque la ERS pedía un mínimo aceptable sin dar el número.</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ISO/IEC 25010 · percentil 95 · NFR-PERF · disponibilidad · System Usability Scale</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Si hay tiempo: explicar por qué se usa percentil 95 y no promedio. El promedio esconde los casos lentos; el p95 dice que 95 de cada 100 peticiones están bajo el umbral, que es lo que percibe el usuario. También se puede señalar que mantenibilidad y portabilidad quedaron con menos profundidad porque la ERS no fija métricas para ellas.</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Decir que se cubren las ocho características por igual. Es más sólido explicar por qué algunas pesan menos.</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5 · Seguridad y marco normativo</w:t>
      </w:r>
    </w:p>
    <w:p>
      <w:pPr>
        <w:pStyle w:val="Normal"/>
        <w:spacing w:lineRule="exact" w:line="340" w:before="0" w:after="120"/>
        <w:jc w:val="left"/>
        <w:rPr/>
      </w:pPr>
      <w:r>
        <w:rPr>
          <w:rFonts w:eastAsia="Arial" w:cs="Arial"/>
          <w:b/>
          <w:bCs/>
          <w:color w:val="C8860B"/>
          <w:sz w:val="19"/>
          <w:szCs w:val="19"/>
        </w:rPr>
        <w:t>Elías Delgado · 55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Conectar la ley chilena con pruebas concretas, que es el eje central de la asignatura.</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La ley define el piso. La 19.628 y la 21.719 obligan a proteger datos personales, y la 21.719 agrega responsabilidad proactiva: no basta con afirmar que el sistema es seguro, hay que poder demostrarlo. Por eso la evidencia del caso CP-03 y los registros de auditoría son parte del cumplimiento y no solo del testing. OWASP entrega el cómo: control de acceso, criptografía, inyección y autenticación tienen casos propios. Y WCAG 2.1 nivel AA aplica por el perfil de usuario adulto mayor.</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Ley 19.628 · Ley 21.719 · responsabilidad proactiva · Ley 21.663 · Ley 21.459 · OWASP Top 10 · ASVS nivel 2 · WCAG 2.1 AA</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Punto fuerte para profundizar: la Ley 21.459 obliga a pedir autorización escrita antes del pentest, porque sin ella las mismas acciones configuran acceso ilícito a un sistema informático. Otro: la 21.663 no obliga directamente a Atlas, pero sus clientes pueden ser operadores de importancia vital, así que se usa como referencia de seguridad desde el diseño.</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Recitar números de ley sin decir qué obliga a hacer cada una.</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6 · Hallazgo del análisis</w:t>
      </w:r>
    </w:p>
    <w:p>
      <w:pPr>
        <w:pStyle w:val="Normal"/>
        <w:spacing w:lineRule="exact" w:line="340" w:before="0" w:after="120"/>
        <w:jc w:val="left"/>
        <w:rPr/>
      </w:pPr>
      <w:r>
        <w:rPr>
          <w:rFonts w:eastAsia="Arial" w:cs="Arial"/>
          <w:b/>
          <w:bCs/>
          <w:color w:val="C8860B"/>
          <w:sz w:val="19"/>
          <w:szCs w:val="19"/>
        </w:rPr>
        <w:t>Elías Delgado · 55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Mostrar lectura crítica de la ERS. Es el aporte propio del equipo y el mejor punto de relevo.</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Al analizar la ERS encontramos vacíos que afectan los criterios de aceptación. La tipografía de 12 píxeles es insuficiente para adultos mayores y proponemos 16. RF-4.1 dice que los usuarios pueden crear clientes, pero RB-4 deja al editor en solo lectura; asumimos que manda RB-4. El estado vence no tiene umbral definido, asumimos 30 días. Y no hay requerimientos de consentimiento ni de aviso de brechas, que la Ley 21.719 sí exige. Los cuatro quedaron declarados como supuestos en el informe, para confirmarlos con CreaLab. Con eso le dejo a Rolando la estrategia.</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Supuestos declarados · contradicción RF-4.1 y RB-4 · umbral de vencimiento · consentimiento y notificación de brechas</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Si preguntan qué pasa si CreaLab no acepta un supuesto: el caso de prueba cambia su criterio de aceptación, no el plan completo. Por eso los supuestos se documentan en una sección propia y no se esconden dentro de los casos.</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Presentar los vacíos como error del cliente. Se plantean como puntos a confirmar.</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7 · Estrategia</w:t>
      </w:r>
    </w:p>
    <w:p>
      <w:pPr>
        <w:pStyle w:val="Normal"/>
        <w:spacing w:lineRule="exact" w:line="340" w:before="0" w:after="120"/>
        <w:jc w:val="left"/>
        <w:rPr/>
      </w:pPr>
      <w:r>
        <w:rPr>
          <w:rFonts w:eastAsia="Arial" w:cs="Arial"/>
          <w:b/>
          <w:bCs/>
          <w:color w:val="C8860B"/>
          <w:sz w:val="19"/>
          <w:szCs w:val="19"/>
        </w:rPr>
        <w:t>Rolando Aldana · 55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Explicar cómo se ejecutan las pruebas y en qué orden, con el respaldo de la norma de proceso.</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Gracias, Elías. La estrategia es mixta y basada en riesgo. Lo que se repite en cada cambio se automatiza en integración continua: unitarias, API, control de acceso, regresión y carga. Lo que necesita criterio humano se hace a mano: usabilidad con adultos mayores, lector de pantalla, exploratorias y el pentest. Aplicamos shift-left, o sea que el análisis de código y de dependencias corre desde el primer commit. El proceso sigue ISO/IEC/IEEE 29119 en cinco etapas, y cada corrección vuelve a la reprueba y arrastra la regresión del módulo afectado.</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Enfoque mixto basado en riesgo · integración continua · shift-left · ISO/IEC/IEEE 29119 · reprueba y regresión</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Si hay interés técnico: detallar qué corre en cada push (análisis estático, dependencias, unitarias y API) y qué corre solo antes de liberar (carga, escaneo dinámico y pentest). Eso muestra que el pipeline está pensado y no es una lista de herramientas.</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Decir solo que se usan herramientas. Lo que se evalúa es el criterio de qué se automatiza y qué no.</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8 · Tipos de prueba</w:t>
      </w:r>
    </w:p>
    <w:p>
      <w:pPr>
        <w:pStyle w:val="Normal"/>
        <w:spacing w:lineRule="exact" w:line="340" w:before="0" w:after="120"/>
        <w:jc w:val="left"/>
        <w:rPr/>
      </w:pPr>
      <w:r>
        <w:rPr>
          <w:rFonts w:eastAsia="Arial" w:cs="Arial"/>
          <w:b/>
          <w:bCs/>
          <w:color w:val="C8860B"/>
          <w:sz w:val="19"/>
          <w:szCs w:val="19"/>
        </w:rPr>
        <w:t>Rolando Aldana · 50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Demostrar que se distinguen los tipos y que cada uno tiene propósito y contexto propios.</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Trabajamos siete frentes. El que mejor muestra la diferencia entre tipos es integración: cuando se sube un documento a un contrato, la prueba recorre la API, el storage interno, la referencia en PostgreSQL y el registro de auditoría. Eso es RF-5.2, RF-5.3 y RF-6.1 en una sola cadena. Las de seguridad son las de mayor prioridad, y la de aceptación la ejecuta el Product Owner en preproducción, antes del cierre.</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Funcionales · integración · seguridad · rendimiento · usabilidad y accesibilidad · compatibilidad · aceptación</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Diferencia que conviene tener lista: una prueba de sistema recorre el flujo desde la interfaz como lo haría el usuario; una de integración verifica que dos o más componentes conversen bien, aunque no pase por la pantalla. Se puede agregar que la accesibilidad tiene una parte automatizada, con axe, y otra manual con NVDA, porque el lector de pantalla revela problemas que la herramienta no detecta.</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Nombrar los siete tipos uno por uno sin ejemplo. Basta con desarrollar uno bien.</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9 · Prioridades y criterios de salida</w:t>
      </w:r>
    </w:p>
    <w:p>
      <w:pPr>
        <w:pStyle w:val="Normal"/>
        <w:spacing w:lineRule="exact" w:line="340" w:before="0" w:after="120"/>
        <w:jc w:val="left"/>
        <w:rPr/>
      </w:pPr>
      <w:r>
        <w:rPr>
          <w:rFonts w:eastAsia="Arial" w:cs="Arial"/>
          <w:b/>
          <w:bCs/>
          <w:color w:val="C8860B"/>
          <w:sz w:val="19"/>
          <w:szCs w:val="19"/>
        </w:rPr>
        <w:t>Rolando Aldana · 55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Mostrar el criterio de decisión: qué se prueba primero y cuándo se puede liberar.</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La prioridad sale de cruzar probabilidad e impacto, con más peso cuando hay datos personales de por medio. Los tres P1 son: que una empresa vea datos de otra, que el editor logre escribir y que una sesión siga válida después del cierre o con el token manipulado. La inyección SQL, el XSS y el CSRF también entran en P1. Para cerrar exigimos el 100 % de los casos P1 aprobados, ningún defecto crítico o alto abierto, ninguna vulnerabilidad crítica en el pentest y la aprobación del Product Owner.</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Probabilidad por impacto · P1, P2, P3 · criterios de entrada y de salida · suspensión y reanudación</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Distinción que suele preguntarse: la prioridad ordena qué se prueba primero, la severidad clasifica el defecto una vez encontrado. Un defecto de severidad baja puede estar en un caso P1, y al revés. También se puede mencionar el criterio de suspensión: si un defecto bloquea más del 30 % de los casos, se detiene la ejecución en vez de seguir acumulando resultados inválidos.</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Hablar de criterios de salida sin cifras. Los números son lo que hace verificable el criterio.</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10 · Diseño de casos</w:t>
      </w:r>
    </w:p>
    <w:p>
      <w:pPr>
        <w:pStyle w:val="Normal"/>
        <w:spacing w:lineRule="exact" w:line="340" w:before="0" w:after="120"/>
        <w:jc w:val="left"/>
        <w:rPr/>
      </w:pPr>
      <w:r>
        <w:rPr>
          <w:rFonts w:eastAsia="Arial" w:cs="Arial"/>
          <w:b/>
          <w:bCs/>
          <w:color w:val="C8860B"/>
          <w:sz w:val="19"/>
          <w:szCs w:val="19"/>
        </w:rPr>
        <w:t>Rolando Aldana · 60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Presentar el entregable central de la evaluación con un caso desarrollado en detalle.</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Diseñamos nueve casos: tres funcionales, tres de seguridad y tres no funcionales. El más representativo es CP-03, aislamiento entre empresas. Con sesión de administrador de la empresa A pedimos clientes y contratos de la empresa B cambiando el identificador en la petición, lo que se conoce como IDOR. Esperamos 403 o 404, sin que se filtre un solo dato, tanto con identificadores correlativos como aleatorios. Los otros ocho cubren login y hash, permisos del editor, CRUD con eliminación lógica, estado del contrato, inyección, carga con 200 usuarios, usabilidad con adultos mayores y compatibilidad.</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CP-01 a CP-09 · IDOR · eliminación lógica · criterio de aceptación · evidencia</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Para profundizar, dos caminos. Primero, por qué se prueba con identificadores aleatorios además de correlativos: si la autorización solo filtra por rangos previsibles, el sistema parece seguro con IDs secuenciales y falla con otros. Segundo, la diferencia entre resultado esperado y criterio de aceptación: el resultado describe lo que pasa, el criterio define cuándo se considera aprobado, incluyendo condiciones como el tiempo de respuesta o el formato del hash.</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Intentar recorrer los nueve casos. Es la lámina con más contenido y la que descuadra el tiempo.</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11 · Cobertura y trazabilidad</w:t>
      </w:r>
    </w:p>
    <w:p>
      <w:pPr>
        <w:pStyle w:val="Normal"/>
        <w:spacing w:lineRule="exact" w:line="340" w:before="0" w:after="120"/>
        <w:jc w:val="left"/>
        <w:rPr/>
      </w:pPr>
      <w:r>
        <w:rPr>
          <w:rFonts w:eastAsia="Arial" w:cs="Arial"/>
          <w:b/>
          <w:bCs/>
          <w:color w:val="C8860B"/>
          <w:sz w:val="19"/>
          <w:szCs w:val="19"/>
        </w:rPr>
        <w:t>Rolando Aldana · 50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Cerrar el argumento: nada quedó suelto, y lo que falta está identificado.</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La ERS tiene 42 requerimientos y los 42 están trazados a una prueba. De esos, 27 tienen caso detallado en el informe, un 64 por ciento, y los 15 restantes quedan cubiertos por una suite automatizada o una actividad planificada que documentamos como caso en la iteración 2. La matriz completa está en el Anexo A y también en CSV, y cada fila indica el requerimiento, el caso, el tipo de prueba y la norma que lo respalda.</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Trazabilidad · 42 requerimientos · 27 con caso · Anexo A · norma asociada</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La pregunta esperable es por qué no el 100 %. Respuesta: porque priorizamos riesgo. Los P1 tienen caso propio, y flujos como el registro o la gestión de usuarios se cubren con la suite end-to-end, que verifica lo mismo sin necesidad de un caso manual redactado. Escribir 42 casos habría dado volumen, no cobertura real.</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Pedir disculpas por el 64 %. Es una decisión de diseño y así hay que presentarla.</w:t>
      </w:r>
    </w:p>
    <w:p>
      <w:pPr>
        <w:pStyle w:val="Normal"/>
        <w:pBdr>
          <w:bottom w:val="single" w:sz="6" w:space="6" w:color="DCE1E9"/>
        </w:pBdr>
        <w:spacing w:before="260" w:after="160"/>
        <w:rPr/>
      </w:pPr>
      <w:r>
        <w:rPr/>
      </w:r>
    </w:p>
    <w:p>
      <w:pPr>
        <w:pStyle w:val="Heading2"/>
        <w:rPr/>
      </w:pPr>
      <w:r>
        <w:rPr>
          <w:rFonts w:eastAsia="Arial" w:cs="Arial" w:ascii="Arial" w:hAnsi="Arial"/>
          <w:sz w:val="22"/>
          <w:szCs w:val="22"/>
        </w:rPr>
        <w:t>Diapositiva 12 · Cierre</w:t>
      </w:r>
    </w:p>
    <w:p>
      <w:pPr>
        <w:pStyle w:val="Normal"/>
        <w:spacing w:lineRule="exact" w:line="340" w:before="0" w:after="120"/>
        <w:jc w:val="left"/>
        <w:rPr/>
      </w:pPr>
      <w:r>
        <w:rPr>
          <w:rFonts w:eastAsia="Arial" w:cs="Arial"/>
          <w:b/>
          <w:bCs/>
          <w:color w:val="C8860B"/>
          <w:sz w:val="19"/>
          <w:szCs w:val="19"/>
        </w:rPr>
        <w:t>Ambos · 45 segundos</w:t>
      </w:r>
    </w:p>
    <w:p>
      <w:pPr>
        <w:pStyle w:val="Normal"/>
        <w:spacing w:lineRule="exact" w:line="340" w:before="0" w:after="120"/>
        <w:jc w:val="both"/>
        <w:rPr/>
      </w:pPr>
      <w:r>
        <w:rPr>
          <w:rFonts w:eastAsia="Arial" w:cs="Arial"/>
          <w:b/>
          <w:bCs/>
          <w:sz w:val="22"/>
          <w:szCs w:val="22"/>
        </w:rPr>
        <w:t xml:space="preserve">Objetivo. </w:t>
      </w:r>
      <w:r>
        <w:rPr>
          <w:rFonts w:eastAsia="Arial" w:cs="Arial"/>
          <w:sz w:val="22"/>
          <w:szCs w:val="22"/>
        </w:rPr>
        <w:t>Dejar tres ideas y el enlace al repositorio.</w:t>
      </w:r>
    </w:p>
    <w:p>
      <w:pPr>
        <w:pStyle w:val="Normal"/>
        <w:spacing w:lineRule="exact" w:line="340" w:before="0" w:after="60"/>
        <w:jc w:val="left"/>
        <w:rPr/>
      </w:pPr>
      <w:r>
        <w:rPr>
          <w:rFonts w:eastAsia="Arial" w:cs="Arial"/>
          <w:b/>
          <w:bCs/>
          <w:sz w:val="22"/>
          <w:szCs w:val="22"/>
        </w:rPr>
        <w:t>Qué decir</w:t>
      </w:r>
    </w:p>
    <w:p>
      <w:pPr>
        <w:pStyle w:val="Normal"/>
        <w:pBdr>
          <w:left w:val="single" w:sz="12" w:space="10" w:color="C8860B"/>
        </w:pBdr>
        <w:spacing w:lineRule="exact" w:line="340" w:before="0" w:after="140"/>
        <w:ind w:left="300"/>
        <w:jc w:val="both"/>
        <w:rPr/>
      </w:pPr>
      <w:r>
        <w:rPr>
          <w:rFonts w:eastAsia="Arial" w:cs="Arial"/>
          <w:i/>
          <w:iCs/>
          <w:sz w:val="22"/>
          <w:szCs w:val="22"/>
        </w:rPr>
        <w:t>Rolando: En resumen, el mayor esfuerzo quedó donde el riesgo es mayor, control de acceso y protección de datos, sin descuidar rendimiento ni usabilidad. — Elías: Y cada requerimiento quedó conectado a una prueba y a una norma, así que la misma evidencia sirve para corregir defectos y para demostrar cumplimiento ante la Ley 19.628 y la 21.719. La iteración 2 ya tiene tarea: los casos de sesión, enlace compartido, cifrado en reposo y respaldo, más los supuestos que CreaLab debe confirmar. El informe y la matriz están en el repositorio. Gracias.</w:t>
      </w:r>
    </w:p>
    <w:p>
      <w:pPr>
        <w:pStyle w:val="Normal"/>
        <w:spacing w:lineRule="exact" w:line="340" w:before="0" w:after="120"/>
        <w:jc w:val="both"/>
        <w:rPr/>
      </w:pPr>
      <w:r>
        <w:rPr>
          <w:rFonts w:eastAsia="Arial" w:cs="Arial"/>
          <w:b/>
          <w:bCs/>
          <w:sz w:val="22"/>
          <w:szCs w:val="22"/>
        </w:rPr>
        <w:t xml:space="preserve">Conceptos clave. </w:t>
      </w:r>
      <w:r>
        <w:rPr>
          <w:rFonts w:eastAsia="Arial" w:cs="Arial"/>
          <w:sz w:val="22"/>
          <w:szCs w:val="22"/>
        </w:rPr>
        <w:t>Riesgo · trazabilidad · evidencia de cumplimiento · iteración 2</w:t>
      </w:r>
    </w:p>
    <w:p>
      <w:pPr>
        <w:pStyle w:val="Normal"/>
        <w:spacing w:lineRule="exact" w:line="340" w:before="0" w:after="120"/>
        <w:jc w:val="both"/>
        <w:rPr/>
      </w:pPr>
      <w:r>
        <w:rPr>
          <w:rFonts w:eastAsia="Arial" w:cs="Arial"/>
          <w:b/>
          <w:bCs/>
          <w:sz w:val="22"/>
          <w:szCs w:val="22"/>
        </w:rPr>
        <w:t xml:space="preserve">En qué profundizar. </w:t>
      </w:r>
      <w:r>
        <w:rPr>
          <w:rFonts w:eastAsia="Arial" w:cs="Arial"/>
          <w:sz w:val="22"/>
          <w:szCs w:val="22"/>
        </w:rPr>
        <w:t>Si queda tiempo y el docente lo permite, ofrecer mostrar la matriz del Anexo A en pantalla. Es el documento que mejor resume el trabajo.</w:t>
      </w:r>
    </w:p>
    <w:p>
      <w:pPr>
        <w:pStyle w:val="Normal"/>
        <w:spacing w:lineRule="exact" w:line="340" w:before="0" w:after="60"/>
        <w:jc w:val="both"/>
        <w:rPr/>
      </w:pPr>
      <w:r>
        <w:rPr>
          <w:rFonts w:eastAsia="Arial" w:cs="Arial"/>
          <w:b/>
          <w:bCs/>
          <w:sz w:val="22"/>
          <w:szCs w:val="22"/>
        </w:rPr>
        <w:t xml:space="preserve">Qué evitar. </w:t>
      </w:r>
      <w:r>
        <w:rPr>
          <w:rFonts w:eastAsia="Arial" w:cs="Arial"/>
          <w:sz w:val="22"/>
          <w:szCs w:val="22"/>
        </w:rPr>
        <w:t>Terminar con un simple gracias sin repetir la idea principal. La última frase es la que queda.</w:t>
      </w:r>
    </w:p>
    <w:p>
      <w:pPr>
        <w:pStyle w:val="Normal"/>
        <w:rPr/>
      </w:pPr>
      <w:r>
        <w:rPr/>
      </w:r>
      <w:r>
        <w:br w:type="page"/>
      </w:r>
    </w:p>
    <w:p>
      <w:pPr>
        <w:pStyle w:val="Heading1"/>
        <w:spacing w:before="0" w:after="200"/>
        <w:rPr/>
      </w:pPr>
      <w:r>
        <w:rPr>
          <w:rFonts w:eastAsia="Arial" w:cs="Arial" w:ascii="Arial" w:hAnsi="Arial"/>
          <w:sz w:val="22"/>
          <w:szCs w:val="22"/>
        </w:rPr>
        <w:t>4. Preguntas probables</w:t>
      </w:r>
    </w:p>
    <w:p>
      <w:pPr>
        <w:pStyle w:val="Normal"/>
        <w:spacing w:lineRule="exact" w:line="340" w:before="0" w:after="140"/>
        <w:jc w:val="both"/>
        <w:rPr/>
      </w:pPr>
      <w:r>
        <w:rPr>
          <w:rFonts w:eastAsia="Arial" w:cs="Arial"/>
          <w:sz w:val="22"/>
          <w:szCs w:val="22"/>
        </w:rPr>
        <w:t>Respuestas cortas, para contestar sin abrir el informe. Cada uno responde sobre su mitad; si la pregunta cruza las dos, responde quien expuso la lámina relacionada.</w:t>
      </w:r>
    </w:p>
    <w:tbl>
      <w:tblPr>
        <w:tblW w:w="9026" w:type="dxa"/>
        <w:jc w:val="left"/>
        <w:tblInd w:w="0" w:type="dxa"/>
        <w:tblLayout w:type="fixed"/>
        <w:tblCellMar>
          <w:top w:w="60" w:type="dxa"/>
          <w:left w:w="100" w:type="dxa"/>
          <w:bottom w:w="60" w:type="dxa"/>
          <w:right w:w="100" w:type="dxa"/>
        </w:tblCellMar>
      </w:tblPr>
      <w:tblGrid>
        <w:gridCol w:w="3400"/>
        <w:gridCol w:w="5625"/>
      </w:tblGrid>
      <w:tr>
        <w:trPr>
          <w:tblHeader w:val="true"/>
        </w:trPr>
        <w:tc>
          <w:tcPr>
            <w:tcW w:w="3400" w:type="dxa"/>
            <w:tcBorders>
              <w:top w:val="single" w:sz="4" w:space="0" w:color="C9D0DB"/>
              <w:left w:val="single" w:sz="4" w:space="0" w:color="C9D0DB"/>
              <w:bottom w:val="single" w:sz="4" w:space="0" w:color="C9D0DB"/>
              <w:right w:val="single" w:sz="4" w:space="0" w:color="C9D0DB"/>
            </w:tcBorders>
            <w:shd w:color="auto" w:fill="1B2A4A" w:val="clear"/>
          </w:tcPr>
          <w:p>
            <w:pPr>
              <w:pStyle w:val="Normal"/>
              <w:spacing w:lineRule="exact" w:line="280"/>
              <w:rPr/>
            </w:pPr>
            <w:r>
              <w:rPr>
                <w:rFonts w:eastAsia="Arial" w:cs="Arial"/>
                <w:b/>
                <w:bCs/>
                <w:color w:val="FFFFFF"/>
                <w:sz w:val="19"/>
                <w:szCs w:val="19"/>
              </w:rPr>
              <w:t>Pregunta</w:t>
            </w:r>
          </w:p>
        </w:tc>
        <w:tc>
          <w:tcPr>
            <w:tcW w:w="5625" w:type="dxa"/>
            <w:tcBorders>
              <w:top w:val="single" w:sz="4" w:space="0" w:color="C9D0DB"/>
              <w:left w:val="single" w:sz="4" w:space="0" w:color="C9D0DB"/>
              <w:bottom w:val="single" w:sz="4" w:space="0" w:color="C9D0DB"/>
              <w:right w:val="single" w:sz="4" w:space="0" w:color="C9D0DB"/>
            </w:tcBorders>
            <w:shd w:color="auto" w:fill="1B2A4A" w:val="clear"/>
          </w:tcPr>
          <w:p>
            <w:pPr>
              <w:pStyle w:val="Normal"/>
              <w:spacing w:lineRule="exact" w:line="280"/>
              <w:rPr/>
            </w:pPr>
            <w:r>
              <w:rPr>
                <w:rFonts w:eastAsia="Arial" w:cs="Arial"/>
                <w:b/>
                <w:bCs/>
                <w:color w:val="FFFFFF"/>
                <w:sz w:val="19"/>
                <w:szCs w:val="19"/>
              </w:rPr>
              <w:t>Respuesta</w:t>
            </w:r>
          </w:p>
        </w:tc>
      </w:tr>
      <w:tr>
        <w:trPr>
          <w:cantSplit w:val="true"/>
        </w:trPr>
        <w:tc>
          <w:tcPr>
            <w:tcW w:w="3400"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¿Por qué eligieron SUS y no otra métrica de usabilidad?</w:t>
            </w:r>
          </w:p>
        </w:tc>
        <w:tc>
          <w:tcPr>
            <w:tcW w:w="5625"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Es un cuestionario estándar de diez ítems, rápido de aplicar y comparable entre versiones. La ERS pedía un puntaje mínimo aceptable sin definirlo, así que propusimos 70.</w:t>
            </w:r>
          </w:p>
        </w:tc>
      </w:tr>
      <w:tr>
        <w:trPr>
          <w:cantSplit w:val="true"/>
        </w:trPr>
        <w:tc>
          <w:tcPr>
            <w:tcW w:w="3400"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¿Qué diferencia hay entre prioridad P1 y severidad crítica?</w:t>
            </w:r>
          </w:p>
        </w:tc>
        <w:tc>
          <w:tcPr>
            <w:tcW w:w="5625"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La prioridad ordena qué se prueba primero; la severidad clasifica el defecto una vez encontrado. Son escalas distintas y pueden no coincidir.</w:t>
            </w:r>
          </w:p>
        </w:tc>
      </w:tr>
      <w:tr>
        <w:trPr>
          <w:cantSplit w:val="true"/>
        </w:trPr>
        <w:tc>
          <w:tcPr>
            <w:tcW w:w="3400"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¿Por qué el pentest necesita autorización escrita?</w:t>
            </w:r>
          </w:p>
        </w:tc>
        <w:tc>
          <w:tcPr>
            <w:tcW w:w="5625"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Por la Ley 21.459 sobre delitos informáticos: sin autorización, las mismas acciones configuran acceso ilícito a un sistema.</w:t>
            </w:r>
          </w:p>
        </w:tc>
      </w:tr>
      <w:tr>
        <w:trPr>
          <w:cantSplit w:val="true"/>
        </w:trPr>
        <w:tc>
          <w:tcPr>
            <w:tcW w:w="3400"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¿Cómo se prueba el cifrado en reposo?</w:t>
            </w:r>
          </w:p>
        </w:tc>
        <w:tc>
          <w:tcPr>
            <w:tcW w:w="5625"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Revisando directamente la base de datos en el ambiente QA, para confirmar que los campos sensibles no están en texto plano. Es una de las actividades planificadas y queda como caso en la iteración 2.</w:t>
            </w:r>
          </w:p>
        </w:tc>
      </w:tr>
      <w:tr>
        <w:trPr>
          <w:cantSplit w:val="true"/>
        </w:trPr>
        <w:tc>
          <w:tcPr>
            <w:tcW w:w="3400"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¿Por qué usan datos ficticios y no una copia de producción?</w:t>
            </w:r>
          </w:p>
        </w:tc>
        <w:tc>
          <w:tcPr>
            <w:tcW w:w="5625"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Por el principio de minimización: un ambiente de prueba tiene menos controles, así que no debe contener datos reales de clientes.</w:t>
            </w:r>
          </w:p>
        </w:tc>
      </w:tr>
      <w:tr>
        <w:trPr>
          <w:cantSplit w:val="true"/>
        </w:trPr>
        <w:tc>
          <w:tcPr>
            <w:tcW w:w="3400"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¿Quién ejecuta cada prueba?</w:t>
            </w:r>
          </w:p>
        </w:tc>
        <w:tc>
          <w:tcPr>
            <w:tcW w:w="5625"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Está en la sección de recursos: QA Lead, dos analistas, automatización, seguridad y experiencia de usuario, más el Product Owner para la aceptación.</w:t>
            </w:r>
          </w:p>
        </w:tc>
      </w:tr>
      <w:tr>
        <w:trPr>
          <w:cantSplit w:val="true"/>
        </w:trPr>
        <w:tc>
          <w:tcPr>
            <w:tcW w:w="3400"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¿Qué pasa si CreaLab rechaza uno de los supuestos?</w:t>
            </w:r>
          </w:p>
        </w:tc>
        <w:tc>
          <w:tcPr>
            <w:tcW w:w="5625" w:type="dxa"/>
            <w:tcBorders>
              <w:top w:val="single" w:sz="4" w:space="0" w:color="C9D0DB"/>
              <w:left w:val="single" w:sz="4" w:space="0" w:color="C9D0DB"/>
              <w:bottom w:val="single" w:sz="4" w:space="0" w:color="C9D0DB"/>
              <w:right w:val="single" w:sz="4" w:space="0" w:color="C9D0DB"/>
            </w:tcBorders>
          </w:tcPr>
          <w:p>
            <w:pPr>
              <w:pStyle w:val="Normal"/>
              <w:spacing w:lineRule="exact" w:line="280"/>
              <w:rPr/>
            </w:pPr>
            <w:r>
              <w:rPr>
                <w:rFonts w:eastAsia="Arial" w:cs="Arial"/>
                <w:b w:val="false"/>
                <w:bCs w:val="false"/>
                <w:sz w:val="19"/>
                <w:szCs w:val="19"/>
              </w:rPr>
              <w:t>Cambia el criterio de aceptación de los casos afectados, no la estructura del plan. Por eso están documentados en una sección propia.</w:t>
            </w:r>
          </w:p>
        </w:tc>
      </w:tr>
      <w:tr>
        <w:trPr>
          <w:cantSplit w:val="true"/>
        </w:trPr>
        <w:tc>
          <w:tcPr>
            <w:tcW w:w="3400"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¿Por qué priorizan seguridad por sobre funcionalidad?</w:t>
            </w:r>
          </w:p>
        </w:tc>
        <w:tc>
          <w:tcPr>
            <w:tcW w:w="5625" w:type="dxa"/>
            <w:tcBorders>
              <w:top w:val="single" w:sz="4" w:space="0" w:color="C9D0DB"/>
              <w:left w:val="single" w:sz="4" w:space="0" w:color="C9D0DB"/>
              <w:bottom w:val="single" w:sz="4" w:space="0" w:color="C9D0DB"/>
              <w:right w:val="single" w:sz="4" w:space="0" w:color="C9D0DB"/>
            </w:tcBorders>
            <w:shd w:color="auto" w:fill="F7F8FA" w:val="clear"/>
          </w:tcPr>
          <w:p>
            <w:pPr>
              <w:pStyle w:val="Normal"/>
              <w:spacing w:lineRule="exact" w:line="280"/>
              <w:rPr/>
            </w:pPr>
            <w:r>
              <w:rPr>
                <w:rFonts w:eastAsia="Arial" w:cs="Arial"/>
                <w:b w:val="false"/>
                <w:bCs w:val="false"/>
                <w:sz w:val="19"/>
                <w:szCs w:val="19"/>
              </w:rPr>
              <w:t>Porque Atlas trata datos de terceros. Una falla funcional afecta al usuario del sistema; una falla de autorización afecta a los clientes de la pyme y activa responsabilidad legal.</w:t>
            </w:r>
          </w:p>
        </w:tc>
      </w:tr>
    </w:tbl>
    <w:p>
      <w:pPr>
        <w:pStyle w:val="Normal"/>
        <w:spacing w:before="0" w:after="200"/>
        <w:rPr/>
      </w:pPr>
      <w:r>
        <w:rPr/>
      </w:r>
    </w:p>
    <w:p>
      <w:pPr>
        <w:pStyle w:val="Heading1"/>
        <w:rPr/>
      </w:pPr>
      <w:r>
        <w:rPr>
          <w:rFonts w:eastAsia="Arial" w:cs="Arial" w:ascii="Arial" w:hAnsi="Arial"/>
          <w:sz w:val="22"/>
          <w:szCs w:val="22"/>
        </w:rPr>
        <w:t>5. Antes de exponer</w:t>
      </w:r>
    </w:p>
    <w:p>
      <w:pPr>
        <w:pStyle w:val="ListParagraph"/>
        <w:numPr>
          <w:ilvl w:val="0"/>
          <w:numId w:val="3"/>
        </w:numPr>
        <w:spacing w:lineRule="exact" w:line="340" w:before="0" w:after="80"/>
        <w:jc w:val="both"/>
        <w:rPr/>
      </w:pPr>
      <w:r>
        <w:rPr>
          <w:rFonts w:eastAsia="Arial" w:cs="Arial"/>
          <w:sz w:val="22"/>
          <w:szCs w:val="22"/>
        </w:rPr>
        <w:t>Abrir la presentación antes de que entre el curso y dejarla en pantalla completa con la tecla F.</w:t>
      </w:r>
    </w:p>
    <w:p>
      <w:pPr>
        <w:pStyle w:val="ListParagraph"/>
        <w:numPr>
          <w:ilvl w:val="0"/>
          <w:numId w:val="1"/>
        </w:numPr>
        <w:spacing w:lineRule="exact" w:line="340" w:before="0" w:after="80"/>
        <w:jc w:val="both"/>
        <w:rPr/>
      </w:pPr>
      <w:r>
        <w:rPr>
          <w:rFonts w:eastAsia="Arial" w:cs="Arial"/>
          <w:sz w:val="22"/>
          <w:szCs w:val="22"/>
        </w:rPr>
        <w:t>Revisar si el proyector está en modo espejo o extendido: en espejo, las notas del expositor se proyectan.</w:t>
      </w:r>
    </w:p>
    <w:p>
      <w:pPr>
        <w:pStyle w:val="ListParagraph"/>
        <w:numPr>
          <w:ilvl w:val="0"/>
          <w:numId w:val="1"/>
        </w:numPr>
        <w:spacing w:lineRule="exact" w:line="340" w:before="0" w:after="80"/>
        <w:jc w:val="both"/>
        <w:rPr/>
      </w:pPr>
      <w:r>
        <w:rPr>
          <w:rFonts w:eastAsia="Arial" w:cs="Arial"/>
          <w:sz w:val="22"/>
          <w:szCs w:val="22"/>
        </w:rPr>
        <w:t>Tener el informe en PDF abierto en otra pestaña, en el Anexo A, por si piden ver la matriz.</w:t>
      </w:r>
    </w:p>
    <w:p>
      <w:pPr>
        <w:pStyle w:val="ListParagraph"/>
        <w:numPr>
          <w:ilvl w:val="0"/>
          <w:numId w:val="1"/>
        </w:numPr>
        <w:spacing w:lineRule="exact" w:line="340" w:before="0" w:after="80"/>
        <w:jc w:val="both"/>
        <w:rPr/>
      </w:pPr>
      <w:r>
        <w:rPr>
          <w:rFonts w:eastAsia="Arial" w:cs="Arial"/>
          <w:sz w:val="22"/>
          <w:szCs w:val="22"/>
        </w:rPr>
        <w:t>Llevar el enlace del repositorio a mano, por si lo piden durante la exposición.</w:t>
      </w:r>
    </w:p>
    <w:p>
      <w:pPr>
        <w:pStyle w:val="ListParagraph"/>
        <w:numPr>
          <w:ilvl w:val="0"/>
          <w:numId w:val="1"/>
        </w:numPr>
        <w:spacing w:lineRule="exact" w:line="340" w:before="0" w:after="80"/>
        <w:jc w:val="both"/>
        <w:rPr/>
      </w:pPr>
      <w:r>
        <w:rPr>
          <w:rFonts w:eastAsia="Arial" w:cs="Arial"/>
          <w:sz w:val="22"/>
          <w:szCs w:val="22"/>
        </w:rPr>
        <w:t>Acordar quién responde las preguntas: lo natural es que cada uno responda sobre su mitad.</w:t>
      </w:r>
    </w:p>
    <w:p>
      <w:pPr>
        <w:pStyle w:val="ListParagraph"/>
        <w:numPr>
          <w:ilvl w:val="0"/>
          <w:numId w:val="1"/>
        </w:numPr>
        <w:spacing w:lineRule="exact" w:line="340" w:before="0" w:after="80"/>
        <w:jc w:val="both"/>
        <w:rPr/>
      </w:pPr>
      <w:r>
        <w:rPr>
          <w:rFonts w:eastAsia="Arial" w:cs="Arial"/>
          <w:sz w:val="22"/>
          <w:szCs w:val="22"/>
        </w:rPr>
        <w:t>Ensayar una vez completo con cronómetro; la meta son 10 a 12 minutos.</w:t>
      </w:r>
    </w:p>
    <w:p>
      <w:pPr>
        <w:pStyle w:val="Normal"/>
        <w:spacing w:lineRule="exact" w:line="340" w:before="120" w:after="140"/>
        <w:jc w:val="both"/>
        <w:rPr/>
      </w:pPr>
      <w:r>
        <w:rPr>
          <w:rFonts w:eastAsia="Arial" w:cs="Arial"/>
          <w:sz w:val="22"/>
          <w:szCs w:val="22"/>
        </w:rPr>
        <w:t>Atajos de la presentación: flechas o barra espaciadora para avanzar, N para las notas, O para el índice, F para pantalla completa, Esc para cerrar lo que esté abierto y los números del 1 al 9 para saltar directo a una lámina.</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00" w:right="14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0"/>
      <w:jc w:val="right"/>
      <w:rPr/>
    </w:pPr>
    <w:r>
      <w:rPr>
        <w:rFonts w:eastAsia="Arial" w:cs="Arial"/>
        <w:color w:val="7A8699"/>
        <w:sz w:val="15"/>
        <w:szCs w:val="15"/>
      </w:rPr>
      <w:t xml:space="preserve">Página </w:t>
    </w:r>
    <w:r>
      <w:rPr/>
      <w:fldChar w:fldCharType="begin"/>
    </w:r>
    <w:r>
      <w:rPr/>
      <w:instrText xml:space="preserve"> PAGE </w:instrText>
    </w:r>
    <w:r>
      <w:rPr/>
      <w:fldChar w:fldCharType="separate"/>
    </w:r>
    <w:r>
      <w:rPr/>
      <w:t>11</w:t>
    </w:r>
    <w:r>
      <w:rPr/>
      <w:fldChar w:fldCharType="end"/>
    </w:r>
    <w:r>
      <w:rPr>
        <w:rFonts w:eastAsia="Arial" w:cs="Arial"/>
        <w:color w:val="7A8699"/>
        <w:sz w:val="15"/>
        <w:szCs w:val="15"/>
      </w:rPr>
      <w:t xml:space="preserve"> de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CE1E9"/>
      </w:pBdr>
      <w:tabs>
        <w:tab w:val="clear" w:pos="720"/>
        <w:tab w:val="right" w:pos="9026" w:leader="none"/>
      </w:tabs>
      <w:spacing w:before="0" w:after="40"/>
      <w:rPr/>
    </w:pPr>
    <w:r>
      <w:rPr>
        <w:rFonts w:eastAsia="Arial" w:cs="Arial"/>
        <w:color w:val="7A8699"/>
        <w:sz w:val="15"/>
        <w:szCs w:val="15"/>
      </w:rPr>
      <w:t>Guion de exposición · EP1 ISY1102</w:t>
    </w:r>
    <w:r>
      <w:rPr>
        <w:rFonts w:eastAsia="Arial" w:cs="Arial"/>
        <w:sz w:val="15"/>
        <w:szCs w:val="15"/>
      </w:rPr>
      <w:tab/>
    </w:r>
    <w:r>
      <w:rPr>
        <w:rFonts w:eastAsia="Arial" w:cs="Arial"/>
        <w:color w:val="7A8699"/>
        <w:sz w:val="15"/>
        <w:szCs w:val="15"/>
      </w:rPr>
      <w:t>Plan de pruebas · Sistema de Gestión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CL"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CL" w:eastAsia="zh-CN" w:bidi="hi-IN"/>
    </w:rPr>
  </w:style>
  <w:style w:type="paragraph" w:styleId="Heading1">
    <w:name w:val="Heading 1"/>
    <w:basedOn w:val="Heading"/>
    <w:qFormat/>
    <w:pPr>
      <w:pBdr>
        <w:bottom w:val="single" w:sz="10" w:space="6" w:color="C8860B"/>
      </w:pBdr>
      <w:spacing w:lineRule="exact" w:line="340" w:before="160" w:after="200"/>
      <w:outlineLvl w:val="0"/>
    </w:pPr>
    <w:rPr>
      <w:rFonts w:ascii="Arial" w:hAnsi="Arial" w:eastAsia="Arial" w:cs="Arial"/>
      <w:b/>
      <w:bCs/>
      <w:color w:val="1B2A4A"/>
      <w:sz w:val="28"/>
      <w:szCs w:val="28"/>
    </w:rPr>
  </w:style>
  <w:style w:type="paragraph" w:styleId="Heading2">
    <w:name w:val="Heading 2"/>
    <w:basedOn w:val="Heading"/>
    <w:qFormat/>
    <w:pPr>
      <w:keepNext w:val="true"/>
      <w:spacing w:lineRule="exact" w:line="340" w:before="120" w:after="80"/>
      <w:outlineLvl w:val="1"/>
    </w:pPr>
    <w:rPr>
      <w:rFonts w:ascii="Arial" w:hAnsi="Arial" w:eastAsia="Arial" w:cs="Arial"/>
      <w:b/>
      <w:bCs/>
      <w:color w:val="1B2A4A"/>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s-CL"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CL"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2026-09-21T01:39:10Z</dcterms:created>
  <dc:creator>Elías Delgado Manríquez</dc:creator>
  <dc:description>Guion por diapositiva para la exposición de la Evaluación Parcial 1.</dc:description>
  <cp:keywords>exposición plan de pruebas ISY1102</cp:keywords>
  <dc:language>en-US</dc:language>
  <cp:lastModifiedBy/>
  <dcterms:modified xsi:type="dcterms:W3CDTF">2026-09-20T22:39:16Z</dcterms:modified>
  <cp:revision>2</cp:revision>
  <dc:subject>ISY1102 - Seguridad y Calidad en el Desarrollo de Software</dc:subject>
  <dc:title>Guion de exposición - Plan de pruebas Atlas</dc:title>
</cp:coreProperties>
</file>