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0"/>
        <w:jc w:val="center"/>
        <w:rPr/>
      </w:pPr>
      <w:r>
        <w:rPr/>
      </w:r>
    </w:p>
    <w:p>
      <w:pPr>
        <w:pStyle w:val="Normal"/>
        <w:spacing w:before="0" w:after="80"/>
        <w:jc w:val="center"/>
        <w:rPr/>
      </w:pPr>
      <w:r>
        <w:rPr>
          <w:rFonts w:eastAsia="Arial" w:cs="Arial"/>
          <w:b/>
          <w:bCs/>
          <w:sz w:val="36"/>
          <w:szCs w:val="36"/>
        </w:rPr>
        <w:t>INFORME DE SEGURIDAD Y CALIDAD</w:t>
      </w:r>
    </w:p>
    <w:p>
      <w:pPr>
        <w:pStyle w:val="Normal"/>
        <w:spacing w:before="0" w:after="400"/>
        <w:jc w:val="center"/>
        <w:rPr/>
      </w:pPr>
      <w:r>
        <w:rPr>
          <w:rFonts w:eastAsia="Arial" w:cs="Arial"/>
          <w:b/>
          <w:bCs/>
          <w:sz w:val="36"/>
          <w:szCs w:val="36"/>
        </w:rPr>
        <w:t>EN EL DESARROLLO DE SOFTWARE</w:t>
      </w:r>
    </w:p>
    <w:p>
      <w:pPr>
        <w:pStyle w:val="Normal"/>
        <w:spacing w:before="0" w:after="120"/>
        <w:jc w:val="center"/>
        <w:rPr/>
      </w:pPr>
      <w:r>
        <w:rPr>
          <w:rFonts w:eastAsia="Arial" w:cs="Arial"/>
          <w:b w:val="false"/>
          <w:bCs w:val="false"/>
          <w:sz w:val="28"/>
          <w:szCs w:val="28"/>
        </w:rPr>
        <w:t>Plan de pruebas del Sistema de Gestión Atlas</w:t>
      </w:r>
    </w:p>
    <w:p>
      <w:pPr>
        <w:pStyle w:val="Normal"/>
        <w:spacing w:before="0" w:after="1400"/>
        <w:jc w:val="center"/>
        <w:rPr/>
      </w:pPr>
      <w:r>
        <w:rPr>
          <w:rFonts w:eastAsia="Arial" w:cs="Arial"/>
          <w:b w:val="false"/>
          <w:bCs w:val="false"/>
          <w:sz w:val="22"/>
          <w:szCs w:val="22"/>
        </w:rPr>
        <w:t>Evaluación Parcial N°1 – Informe semestral, iteración 1 (Forma A)</w:t>
      </w:r>
    </w:p>
    <w:p>
      <w:pPr>
        <w:pStyle w:val="Normal"/>
        <w:spacing w:before="0" w:after="120"/>
        <w:jc w:val="center"/>
        <w:rPr/>
      </w:pPr>
      <w:r>
        <w:rPr>
          <w:rFonts w:eastAsia="Arial" w:cs="Arial"/>
          <w:b/>
          <w:bCs/>
          <w:sz w:val="22"/>
          <w:szCs w:val="22"/>
        </w:rPr>
        <w:t>ISY1102 – Seguridad y Calidad en el Desarrollo de Software</w:t>
      </w:r>
    </w:p>
    <w:p>
      <w:pPr>
        <w:pStyle w:val="Normal"/>
        <w:spacing w:before="0" w:after="120"/>
        <w:jc w:val="center"/>
        <w:rPr/>
      </w:pPr>
      <w:r>
        <w:rPr>
          <w:rFonts w:eastAsia="Arial" w:cs="Arial"/>
          <w:b w:val="false"/>
          <w:bCs w:val="false"/>
          <w:sz w:val="22"/>
          <w:szCs w:val="22"/>
        </w:rPr>
        <w:t>Sección 004V</w:t>
      </w:r>
    </w:p>
    <w:p>
      <w:pPr>
        <w:pStyle w:val="Normal"/>
        <w:spacing w:before="0" w:after="600"/>
        <w:jc w:val="center"/>
        <w:rPr/>
      </w:pPr>
      <w:r>
        <w:rPr>
          <w:rFonts w:eastAsia="Arial" w:cs="Arial"/>
          <w:b w:val="false"/>
          <w:bCs w:val="false"/>
          <w:sz w:val="22"/>
          <w:szCs w:val="22"/>
        </w:rPr>
        <w:t>Duoc UC – Escuela de Informática y Telecomunicaciones</w:t>
      </w:r>
    </w:p>
    <w:p>
      <w:pPr>
        <w:pStyle w:val="Normal"/>
        <w:spacing w:before="0" w:after="80"/>
        <w:jc w:val="center"/>
        <w:rPr/>
      </w:pPr>
      <w:r>
        <w:rPr>
          <w:rFonts w:eastAsia="Arial" w:cs="Arial"/>
          <w:b/>
          <w:bCs/>
          <w:sz w:val="22"/>
          <w:szCs w:val="22"/>
        </w:rPr>
        <w:t>Integrantes</w:t>
      </w:r>
    </w:p>
    <w:p>
      <w:pPr>
        <w:pStyle w:val="Normal"/>
        <w:spacing w:before="0" w:after="40"/>
        <w:jc w:val="center"/>
        <w:rPr/>
      </w:pPr>
      <w:r>
        <w:rPr>
          <w:rFonts w:eastAsia="Arial" w:cs="Arial"/>
          <w:b w:val="false"/>
          <w:bCs w:val="false"/>
          <w:sz w:val="22"/>
          <w:szCs w:val="22"/>
        </w:rPr>
        <w:t>Elías Delgado Manríquez</w:t>
      </w:r>
    </w:p>
    <w:p>
      <w:pPr>
        <w:pStyle w:val="Normal"/>
        <w:spacing w:before="0" w:after="500"/>
        <w:jc w:val="center"/>
        <w:rPr/>
      </w:pPr>
      <w:r>
        <w:rPr>
          <w:rFonts w:eastAsia="Arial" w:cs="Arial"/>
          <w:b w:val="false"/>
          <w:bCs w:val="false"/>
          <w:sz w:val="22"/>
          <w:szCs w:val="22"/>
        </w:rPr>
        <w:t>Rolando Aldana</w:t>
      </w:r>
    </w:p>
    <w:p>
      <w:pPr>
        <w:pStyle w:val="Normal"/>
        <w:spacing w:before="0" w:after="80"/>
        <w:jc w:val="center"/>
        <w:rPr/>
      </w:pPr>
      <w:r>
        <w:rPr>
          <w:rFonts w:eastAsia="Arial" w:cs="Arial"/>
          <w:b w:val="false"/>
          <w:bCs w:val="false"/>
          <w:sz w:val="22"/>
          <w:szCs w:val="22"/>
        </w:rPr>
        <w:t>Carrera: Ingeniería en Informática</w:t>
      </w:r>
    </w:p>
    <w:p>
      <w:pPr>
        <w:pStyle w:val="Normal"/>
        <w:spacing w:before="0" w:after="80"/>
        <w:jc w:val="center"/>
        <w:rPr/>
      </w:pPr>
      <w:r>
        <w:rPr>
          <w:rFonts w:eastAsia="Arial" w:cs="Arial"/>
          <w:b w:val="false"/>
          <w:bCs w:val="false"/>
          <w:sz w:val="22"/>
          <w:szCs w:val="22"/>
        </w:rPr>
        <w:t>Docente: Johnnathan René Cubillos Flores</w:t>
      </w:r>
    </w:p>
    <w:p>
      <w:pPr>
        <w:pStyle w:val="Normal"/>
        <w:spacing w:before="0" w:after="80"/>
        <w:jc w:val="center"/>
        <w:rPr/>
      </w:pPr>
      <w:r>
        <w:rPr>
          <w:rFonts w:eastAsia="Arial" w:cs="Arial"/>
          <w:b w:val="false"/>
          <w:bCs w:val="false"/>
          <w:sz w:val="22"/>
          <w:szCs w:val="22"/>
        </w:rPr>
        <w:t>Fecha: 15 de septiembre de 2026</w:t>
      </w:r>
    </w:p>
    <w:p>
      <w:pPr>
        <w:pStyle w:val="Normal"/>
        <w:rPr/>
      </w:pPr>
      <w:r>
        <w:rPr/>
      </w:r>
      <w:r>
        <w:br w:type="page"/>
      </w:r>
    </w:p>
    <w:p>
      <w:pPr>
        <w:pStyle w:val="Normal"/>
        <w:spacing w:before="0" w:after="200"/>
        <w:rPr/>
      </w:pPr>
      <w:r>
        <w:rPr>
          <w:rFonts w:eastAsia="Arial" w:cs="Arial"/>
          <w:b/>
          <w:bCs/>
          <w:color w:val="000000"/>
          <w:sz w:val="24"/>
          <w:szCs w:val="24"/>
        </w:rPr>
        <w:t>ÍNDICE</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928_2151982201">
            <w:r>
              <w:rPr>
                <w:rStyle w:val="IndexLink"/>
              </w:rPr>
              <w:t>1. Introducción</w:t>
              <w:tab/>
              <w:t>3</w:t>
            </w:r>
          </w:hyperlink>
        </w:p>
        <w:p>
          <w:pPr>
            <w:pStyle w:val="TOC2"/>
            <w:tabs>
              <w:tab w:val="clear" w:pos="8743"/>
              <w:tab w:val="right" w:pos="9025" w:leader="dot"/>
            </w:tabs>
            <w:rPr/>
          </w:pPr>
          <w:hyperlink w:anchor="__RefHeading___Toc1930_2151982201">
            <w:r>
              <w:rPr>
                <w:rStyle w:val="IndexLink"/>
              </w:rPr>
              <w:t>1.1 Contexto del software</w:t>
              <w:tab/>
              <w:t>3</w:t>
            </w:r>
          </w:hyperlink>
        </w:p>
        <w:p>
          <w:pPr>
            <w:pStyle w:val="TOC2"/>
            <w:tabs>
              <w:tab w:val="clear" w:pos="8743"/>
              <w:tab w:val="right" w:pos="9025" w:leader="dot"/>
            </w:tabs>
            <w:rPr/>
          </w:pPr>
          <w:hyperlink w:anchor="__RefHeading___Toc1932_2151982201">
            <w:r>
              <w:rPr>
                <w:rStyle w:val="IndexLink"/>
              </w:rPr>
              <w:t>1.2 Clasificación del producto</w:t>
              <w:tab/>
              <w:t>3</w:t>
            </w:r>
          </w:hyperlink>
        </w:p>
        <w:p>
          <w:pPr>
            <w:pStyle w:val="TOC2"/>
            <w:tabs>
              <w:tab w:val="clear" w:pos="8743"/>
              <w:tab w:val="right" w:pos="9025" w:leader="dot"/>
            </w:tabs>
            <w:rPr/>
          </w:pPr>
          <w:hyperlink w:anchor="__RefHeading___Toc1934_2151982201">
            <w:r>
              <w:rPr>
                <w:rStyle w:val="IndexLink"/>
              </w:rPr>
              <w:t>1.3 Propósito del plan</w:t>
              <w:tab/>
              <w:t>3</w:t>
            </w:r>
          </w:hyperlink>
        </w:p>
        <w:p>
          <w:pPr>
            <w:pStyle w:val="TOC2"/>
            <w:tabs>
              <w:tab w:val="clear" w:pos="8743"/>
              <w:tab w:val="right" w:pos="9025" w:leader="dot"/>
            </w:tabs>
            <w:rPr/>
          </w:pPr>
          <w:hyperlink w:anchor="__RefHeading___Toc1936_2151982201">
            <w:r>
              <w:rPr>
                <w:rStyle w:val="IndexLink"/>
              </w:rPr>
              <w:t>1.4 Alcance</w:t>
              <w:tab/>
              <w:t>4</w:t>
            </w:r>
          </w:hyperlink>
        </w:p>
        <w:p>
          <w:pPr>
            <w:pStyle w:val="TOC1"/>
            <w:tabs>
              <w:tab w:val="clear" w:pos="9026"/>
              <w:tab w:val="right" w:pos="9025" w:leader="dot"/>
            </w:tabs>
            <w:rPr/>
          </w:pPr>
          <w:hyperlink w:anchor="__RefHeading___Toc1938_2151982201">
            <w:r>
              <w:rPr>
                <w:rStyle w:val="IndexLink"/>
              </w:rPr>
              <w:t>2. Criterios de calidad</w:t>
              <w:tab/>
              <w:t>5</w:t>
            </w:r>
          </w:hyperlink>
        </w:p>
        <w:p>
          <w:pPr>
            <w:pStyle w:val="TOC2"/>
            <w:tabs>
              <w:tab w:val="clear" w:pos="8743"/>
              <w:tab w:val="right" w:pos="9025" w:leader="dot"/>
            </w:tabs>
            <w:rPr/>
          </w:pPr>
          <w:hyperlink w:anchor="__RefHeading___Toc1940_2151982201">
            <w:r>
              <w:rPr>
                <w:rStyle w:val="IndexLink"/>
              </w:rPr>
              <w:t>2.1 Calidad del producto</w:t>
              <w:tab/>
              <w:t>5</w:t>
            </w:r>
          </w:hyperlink>
        </w:p>
        <w:p>
          <w:pPr>
            <w:pStyle w:val="TOC2"/>
            <w:tabs>
              <w:tab w:val="clear" w:pos="8743"/>
              <w:tab w:val="right" w:pos="9025" w:leader="dot"/>
            </w:tabs>
            <w:rPr/>
          </w:pPr>
          <w:hyperlink w:anchor="__RefHeading___Toc1942_2151982201">
            <w:r>
              <w:rPr>
                <w:rStyle w:val="IndexLink"/>
              </w:rPr>
              <w:t>2.2 Seguridad</w:t>
              <w:tab/>
              <w:t>5</w:t>
            </w:r>
          </w:hyperlink>
        </w:p>
        <w:p>
          <w:pPr>
            <w:pStyle w:val="TOC2"/>
            <w:tabs>
              <w:tab w:val="clear" w:pos="8743"/>
              <w:tab w:val="right" w:pos="9025" w:leader="dot"/>
            </w:tabs>
            <w:rPr/>
          </w:pPr>
          <w:hyperlink w:anchor="__RefHeading___Toc1944_2151982201">
            <w:r>
              <w:rPr>
                <w:rStyle w:val="IndexLink"/>
              </w:rPr>
              <w:t>2.3 Normativas</w:t>
              <w:tab/>
              <w:t>6</w:t>
            </w:r>
          </w:hyperlink>
        </w:p>
        <w:p>
          <w:pPr>
            <w:pStyle w:val="TOC2"/>
            <w:tabs>
              <w:tab w:val="clear" w:pos="8743"/>
              <w:tab w:val="right" w:pos="9025" w:leader="dot"/>
            </w:tabs>
            <w:rPr/>
          </w:pPr>
          <w:hyperlink w:anchor="__RefHeading___Toc1946_2151982201">
            <w:r>
              <w:rPr>
                <w:rStyle w:val="IndexLink"/>
              </w:rPr>
              <w:t>2.4 Observaciones a la ERS</w:t>
              <w:tab/>
              <w:t>6</w:t>
            </w:r>
          </w:hyperlink>
        </w:p>
        <w:p>
          <w:pPr>
            <w:pStyle w:val="TOC1"/>
            <w:tabs>
              <w:tab w:val="clear" w:pos="9026"/>
              <w:tab w:val="right" w:pos="9025" w:leader="dot"/>
            </w:tabs>
            <w:rPr/>
          </w:pPr>
          <w:hyperlink w:anchor="__RefHeading___Toc1948_2151982201">
            <w:r>
              <w:rPr>
                <w:rStyle w:val="IndexLink"/>
              </w:rPr>
              <w:t>3. Plan de pruebas</w:t>
              <w:tab/>
              <w:t>7</w:t>
            </w:r>
          </w:hyperlink>
        </w:p>
        <w:p>
          <w:pPr>
            <w:pStyle w:val="TOC2"/>
            <w:tabs>
              <w:tab w:val="clear" w:pos="8743"/>
              <w:tab w:val="right" w:pos="9025" w:leader="dot"/>
            </w:tabs>
            <w:rPr/>
          </w:pPr>
          <w:hyperlink w:anchor="__RefHeading___Toc1950_2151982201">
            <w:r>
              <w:rPr>
                <w:rStyle w:val="IndexLink"/>
              </w:rPr>
              <w:t>3.1 Estrategia de pruebas</w:t>
              <w:tab/>
              <w:t>7</w:t>
            </w:r>
          </w:hyperlink>
        </w:p>
        <w:p>
          <w:pPr>
            <w:pStyle w:val="TOC2"/>
            <w:tabs>
              <w:tab w:val="clear" w:pos="8743"/>
              <w:tab w:val="right" w:pos="9025" w:leader="dot"/>
            </w:tabs>
            <w:rPr/>
          </w:pPr>
          <w:hyperlink w:anchor="__RefHeading___Toc1952_2151982201">
            <w:r>
              <w:rPr>
                <w:rStyle w:val="IndexLink"/>
              </w:rPr>
              <w:t>3.2 Tipos de prueba</w:t>
              <w:tab/>
              <w:t>8</w:t>
            </w:r>
          </w:hyperlink>
        </w:p>
        <w:p>
          <w:pPr>
            <w:pStyle w:val="TOC2"/>
            <w:tabs>
              <w:tab w:val="clear" w:pos="8743"/>
              <w:tab w:val="right" w:pos="9025" w:leader="dot"/>
            </w:tabs>
            <w:rPr/>
          </w:pPr>
          <w:hyperlink w:anchor="__RefHeading___Toc1954_2151982201">
            <w:r>
              <w:rPr>
                <w:rStyle w:val="IndexLink"/>
              </w:rPr>
              <w:t>3.3 Criterios de aceptación</w:t>
              <w:tab/>
              <w:t>9</w:t>
            </w:r>
          </w:hyperlink>
        </w:p>
        <w:p>
          <w:pPr>
            <w:pStyle w:val="TOC2"/>
            <w:tabs>
              <w:tab w:val="clear" w:pos="8743"/>
              <w:tab w:val="right" w:pos="9025" w:leader="dot"/>
            </w:tabs>
            <w:rPr/>
          </w:pPr>
          <w:hyperlink w:anchor="__RefHeading___Toc1956_2151982201">
            <w:r>
              <w:rPr>
                <w:rStyle w:val="IndexLink"/>
              </w:rPr>
              <w:t>3.4 Herramientas utilizadas</w:t>
              <w:tab/>
              <w:t>10</w:t>
            </w:r>
          </w:hyperlink>
        </w:p>
        <w:p>
          <w:pPr>
            <w:pStyle w:val="TOC2"/>
            <w:tabs>
              <w:tab w:val="clear" w:pos="8743"/>
              <w:tab w:val="right" w:pos="9025" w:leader="dot"/>
            </w:tabs>
            <w:rPr/>
          </w:pPr>
          <w:hyperlink w:anchor="__RefHeading___Toc1958_2151982201">
            <w:r>
              <w:rPr>
                <w:rStyle w:val="IndexLink"/>
              </w:rPr>
              <w:t>3.5 Recursos y cronograma</w:t>
              <w:tab/>
              <w:t>10</w:t>
            </w:r>
          </w:hyperlink>
        </w:p>
        <w:p>
          <w:pPr>
            <w:pStyle w:val="TOC1"/>
            <w:tabs>
              <w:tab w:val="clear" w:pos="9026"/>
              <w:tab w:val="right" w:pos="9025" w:leader="dot"/>
            </w:tabs>
            <w:rPr/>
          </w:pPr>
          <w:hyperlink w:anchor="__RefHeading___Toc1960_2151982201">
            <w:r>
              <w:rPr>
                <w:rStyle w:val="IndexLink"/>
              </w:rPr>
              <w:t>4. Diseño de casos de prueba</w:t>
              <w:tab/>
              <w:t>12</w:t>
            </w:r>
          </w:hyperlink>
        </w:p>
        <w:p>
          <w:pPr>
            <w:pStyle w:val="TOC1"/>
            <w:tabs>
              <w:tab w:val="clear" w:pos="9026"/>
              <w:tab w:val="right" w:pos="9025" w:leader="dot"/>
            </w:tabs>
            <w:rPr/>
          </w:pPr>
          <w:hyperlink w:anchor="__RefHeading___Toc1962_2151982201">
            <w:r>
              <w:rPr>
                <w:rStyle w:val="IndexLink"/>
              </w:rPr>
              <w:t>5. Matriz de trazabilidad y cobertura</w:t>
              <w:tab/>
              <w:t>21</w:t>
            </w:r>
          </w:hyperlink>
        </w:p>
        <w:p>
          <w:pPr>
            <w:pStyle w:val="TOC2"/>
            <w:tabs>
              <w:tab w:val="clear" w:pos="8743"/>
              <w:tab w:val="right" w:pos="9025" w:leader="dot"/>
            </w:tabs>
            <w:rPr/>
          </w:pPr>
          <w:hyperlink w:anchor="__RefHeading___Toc1964_2151982201">
            <w:r>
              <w:rPr>
                <w:rStyle w:val="IndexLink"/>
              </w:rPr>
              <w:t>5.1 Matriz de trazabilidad</w:t>
              <w:tab/>
              <w:t>21</w:t>
            </w:r>
          </w:hyperlink>
        </w:p>
        <w:p>
          <w:pPr>
            <w:pStyle w:val="TOC2"/>
            <w:tabs>
              <w:tab w:val="clear" w:pos="8743"/>
              <w:tab w:val="right" w:pos="9025" w:leader="dot"/>
            </w:tabs>
            <w:rPr/>
          </w:pPr>
          <w:hyperlink w:anchor="__RefHeading___Toc1966_2151982201">
            <w:r>
              <w:rPr>
                <w:rStyle w:val="IndexLink"/>
              </w:rPr>
              <w:t>5.2 Cobertura</w:t>
              <w:tab/>
              <w:t>23</w:t>
            </w:r>
          </w:hyperlink>
        </w:p>
        <w:p>
          <w:pPr>
            <w:pStyle w:val="TOC2"/>
            <w:tabs>
              <w:tab w:val="clear" w:pos="8743"/>
              <w:tab w:val="right" w:pos="9025" w:leader="dot"/>
            </w:tabs>
            <w:rPr/>
          </w:pPr>
          <w:hyperlink w:anchor="__RefHeading___Toc1968_2151982201">
            <w:r>
              <w:rPr>
                <w:rStyle w:val="IndexLink"/>
              </w:rPr>
              <w:t>5.3 Coherencia y brechas</w:t>
              <w:tab/>
              <w:t>23</w:t>
            </w:r>
          </w:hyperlink>
        </w:p>
        <w:p>
          <w:pPr>
            <w:pStyle w:val="TOC1"/>
            <w:tabs>
              <w:tab w:val="clear" w:pos="9026"/>
              <w:tab w:val="right" w:pos="9025" w:leader="dot"/>
            </w:tabs>
            <w:rPr/>
          </w:pPr>
          <w:hyperlink w:anchor="__RefHeading___Toc1970_2151982201">
            <w:r>
              <w:rPr>
                <w:rStyle w:val="IndexLink"/>
              </w:rPr>
              <w:t>6. Conclusión</w:t>
              <w:tab/>
              <w:t>25</w:t>
            </w:r>
          </w:hyperlink>
        </w:p>
        <w:p>
          <w:pPr>
            <w:pStyle w:val="TOC1"/>
            <w:tabs>
              <w:tab w:val="clear" w:pos="9026"/>
              <w:tab w:val="right" w:pos="9025" w:leader="dot"/>
            </w:tabs>
            <w:rPr/>
          </w:pPr>
          <w:hyperlink w:anchor="__RefHeading___Toc1972_2151982201">
            <w:r>
              <w:rPr>
                <w:rStyle w:val="IndexLink"/>
              </w:rPr>
              <w:t>Referencias</w:t>
              <w:tab/>
              <w:t>26</w:t>
            </w:r>
          </w:hyperlink>
          <w:r>
            <w:rPr>
              <w:rStyle w:val="IndexLink"/>
            </w:rPr>
            <w:fldChar w:fldCharType="end"/>
          </w:r>
        </w:p>
      </w:sdtContent>
    </w:sdt>
    <w:p>
      <w:pPr>
        <w:pStyle w:val="Normal"/>
        <w:rPr/>
      </w:pPr>
      <w:r>
        <w:rPr/>
      </w:r>
    </w:p>
    <w:p>
      <w:pPr>
        <w:pStyle w:val="Normal"/>
        <w:rPr/>
      </w:pPr>
      <w:r>
        <w:rPr/>
      </w:r>
      <w:r>
        <w:br w:type="page"/>
      </w:r>
    </w:p>
    <w:p>
      <w:pPr>
        <w:pStyle w:val="Heading1"/>
        <w:spacing w:before="0" w:after="180"/>
        <w:rPr/>
      </w:pPr>
      <w:bookmarkStart w:id="0" w:name="__RefHeading___Toc1928_2151982201"/>
      <w:bookmarkEnd w:id="0"/>
      <w:r>
        <w:rPr>
          <w:rFonts w:eastAsia="Arial" w:cs="Arial" w:ascii="Arial" w:hAnsi="Arial"/>
        </w:rPr>
        <w:t>1. Introducción</w:t>
      </w:r>
    </w:p>
    <w:p>
      <w:pPr>
        <w:pStyle w:val="Heading2"/>
        <w:rPr/>
      </w:pPr>
      <w:bookmarkStart w:id="1" w:name="__RefHeading___Toc1930_2151982201"/>
      <w:bookmarkEnd w:id="1"/>
      <w:r>
        <w:rPr>
          <w:rFonts w:eastAsia="Arial" w:cs="Arial" w:ascii="Arial" w:hAnsi="Arial"/>
        </w:rPr>
        <w:t>1.1 Contexto del software</w:t>
      </w:r>
    </w:p>
    <w:p>
      <w:pPr>
        <w:pStyle w:val="Normal"/>
        <w:spacing w:lineRule="exact" w:line="360" w:before="0" w:after="120"/>
        <w:jc w:val="both"/>
        <w:rPr/>
      </w:pPr>
      <w:r>
        <w:rPr>
          <w:rFonts w:eastAsia="Arial" w:cs="Arial"/>
          <w:sz w:val="22"/>
          <w:szCs w:val="22"/>
        </w:rPr>
        <w:t>Atlas es una plataforma web que CreaLab SpA está desarrollando para pymes chilenas. Sirve para registrar clientes, asociarles contratos con sus documentos y administrar qué usuarios de cada empresa pueden ver o modificar esa información. La ERS (versión 1.1) define dos roles internos, administrador y editor, y exige un registro de auditoría para las acciones críticas.</w:t>
      </w:r>
    </w:p>
    <w:p>
      <w:pPr>
        <w:pStyle w:val="Normal"/>
        <w:spacing w:lineRule="exact" w:line="360" w:before="0" w:after="120"/>
        <w:jc w:val="both"/>
        <w:rPr/>
      </w:pPr>
      <w:r>
        <w:rPr>
          <w:rFonts w:eastAsia="Arial" w:cs="Arial"/>
          <w:sz w:val="22"/>
          <w:szCs w:val="22"/>
        </w:rPr>
        <w:t>Técnicamente es una SPA en React 19 que consume una API REST hecha en Node.js con Express 4, sobre una base de datos PostgreSQL. La sesión se maneja con JWT de corta duración y refresh token, las contraseñas se guardan con bcrypt y toda la comunicación debe ir por TLS. Además, el sistema tiene que funcionar en computador, tablet y celular, y la ERS pide poner atención especial en usuarios adultos mayores.</w:t>
      </w:r>
    </w:p>
    <w:p>
      <w:pPr>
        <w:pStyle w:val="Heading2"/>
        <w:rPr/>
      </w:pPr>
      <w:bookmarkStart w:id="2" w:name="__RefHeading___Toc1932_2151982201"/>
      <w:bookmarkEnd w:id="2"/>
      <w:r>
        <w:rPr>
          <w:rFonts w:eastAsia="Arial" w:cs="Arial" w:ascii="Arial" w:hAnsi="Arial"/>
        </w:rPr>
        <w:t>1.2 Clasificación del producto</w:t>
      </w:r>
    </w:p>
    <w:p>
      <w:pPr>
        <w:pStyle w:val="Normal"/>
        <w:spacing w:lineRule="exact" w:line="360" w:before="0" w:after="120"/>
        <w:jc w:val="both"/>
        <w:rPr/>
      </w:pPr>
      <w:r>
        <w:rPr>
          <w:rFonts w:eastAsia="Arial" w:cs="Arial"/>
          <w:sz w:val="22"/>
          <w:szCs w:val="22"/>
        </w:rPr>
        <w:t>Para decidir qué probar primero clasificamos Atlas según los tres ejes vistos en clases:</w:t>
      </w:r>
    </w:p>
    <w:tbl>
      <w:tblPr>
        <w:tblW w:w="9026" w:type="dxa"/>
        <w:jc w:val="left"/>
        <w:tblInd w:w="0" w:type="dxa"/>
        <w:tblLayout w:type="fixed"/>
        <w:tblCellMar>
          <w:top w:w="50" w:type="dxa"/>
          <w:left w:w="90" w:type="dxa"/>
          <w:bottom w:w="50" w:type="dxa"/>
          <w:right w:w="90" w:type="dxa"/>
        </w:tblCellMar>
      </w:tblPr>
      <w:tblGrid>
        <w:gridCol w:w="1500"/>
        <w:gridCol w:w="3789"/>
        <w:gridCol w:w="3737"/>
      </w:tblGrid>
      <w:tr>
        <w:trPr>
          <w:tblHeader w:val="true"/>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Eje</w:t>
            </w:r>
          </w:p>
        </w:tc>
        <w:tc>
          <w:tcPr>
            <w:tcW w:w="3789"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Clasificación</w:t>
            </w:r>
          </w:p>
        </w:tc>
        <w:tc>
          <w:tcPr>
            <w:tcW w:w="3737"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Por qué (según la ERS)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Calidad</w:t>
            </w:r>
          </w:p>
        </w:tc>
        <w:tc>
          <w:tcPr>
            <w:tcW w:w="37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Sistema transaccional de gestión, criticidad media-alta</w:t>
            </w:r>
          </w:p>
        </w:tc>
        <w:tc>
          <w:tcPr>
            <w:tcW w:w="3737"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Operaciones CRUD sobre clientes y contratos, tiempos de respuesta definidos (NFR-PERF) y disponibilidad de 99,5 % (NFR-DIS-1)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37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Sistema multiempresa con datos personales y bancarios</w:t>
            </w:r>
          </w:p>
        </w:tc>
        <w:tc>
          <w:tcPr>
            <w:tcW w:w="3737"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Datos bancarios de clientes (2.2), control de acceso por rol (NFR-SEG-4) y cifrado en reposo (NFR-SEG-3)</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Cumplimiento</w:t>
            </w:r>
          </w:p>
        </w:tc>
        <w:tc>
          <w:tcPr>
            <w:tcW w:w="37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Trata datos personales de terceros bajo ley chilena</w:t>
            </w:r>
          </w:p>
        </w:tc>
        <w:tc>
          <w:tcPr>
            <w:tcW w:w="3737"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NFR-SEG-8, auditoría (RF-6) y acceso restringido por empresa (RB-2)</w:t>
            </w:r>
          </w:p>
        </w:tc>
      </w:tr>
    </w:tbl>
    <w:p>
      <w:pPr>
        <w:pStyle w:val="Normal"/>
        <w:spacing w:before="0" w:after="120"/>
        <w:rPr/>
      </w:pPr>
      <w:r>
        <w:rPr/>
      </w:r>
    </w:p>
    <w:p>
      <w:pPr>
        <w:pStyle w:val="Normal"/>
        <w:spacing w:lineRule="exact" w:line="360" w:before="0" w:after="120"/>
        <w:jc w:val="both"/>
        <w:rPr/>
      </w:pPr>
      <w:r>
        <w:rPr>
          <w:rFonts w:eastAsia="Arial" w:cs="Arial"/>
          <w:sz w:val="22"/>
          <w:szCs w:val="22"/>
        </w:rPr>
        <w:t>En la práctica esto significa que no basta con que los formularios funcionen. Un error que deje a una empresa ver los clientes de otra es, al mismo tiempo, una falla funcional, un problema de seguridad y un incumplimiento de la normativa de datos personales.</w:t>
      </w:r>
    </w:p>
    <w:p>
      <w:pPr>
        <w:pStyle w:val="Heading2"/>
        <w:rPr/>
      </w:pPr>
      <w:bookmarkStart w:id="3" w:name="__RefHeading___Toc1934_2151982201"/>
      <w:bookmarkEnd w:id="3"/>
      <w:r>
        <w:rPr>
          <w:rFonts w:eastAsia="Arial" w:cs="Arial" w:ascii="Arial" w:hAnsi="Arial"/>
        </w:rPr>
        <w:t>1.3 Propósito del plan</w:t>
      </w:r>
    </w:p>
    <w:p>
      <w:pPr>
        <w:pStyle w:val="Normal"/>
        <w:spacing w:lineRule="exact" w:line="360" w:before="0" w:after="120"/>
        <w:jc w:val="both"/>
        <w:rPr/>
      </w:pPr>
      <w:r>
        <w:rPr>
          <w:rFonts w:eastAsia="Arial" w:cs="Arial"/>
          <w:sz w:val="22"/>
          <w:szCs w:val="22"/>
        </w:rPr>
        <w:t>Con este plan queremos dejar definido cómo se va a comprobar que Atlas cumple lo que promete la ERS antes de salir a producción. Los focos son:</w:t>
      </w:r>
    </w:p>
    <w:p>
      <w:pPr>
        <w:pStyle w:val="ListParagraph"/>
        <w:numPr>
          <w:ilvl w:val="0"/>
          <w:numId w:val="5"/>
        </w:numPr>
        <w:spacing w:lineRule="exact" w:line="360" w:before="0" w:after="60"/>
        <w:jc w:val="both"/>
        <w:rPr/>
      </w:pPr>
      <w:r>
        <w:rPr>
          <w:rFonts w:eastAsia="Arial" w:cs="Arial"/>
          <w:sz w:val="22"/>
          <w:szCs w:val="22"/>
        </w:rPr>
        <w:t>que las funciones esenciales (login, gestión de usuarios, clientes, contratos y auditoría) respondan como está especificado;</w:t>
      </w:r>
    </w:p>
    <w:p>
      <w:pPr>
        <w:pStyle w:val="ListParagraph"/>
        <w:numPr>
          <w:ilvl w:val="0"/>
          <w:numId w:val="1"/>
        </w:numPr>
        <w:spacing w:lineRule="exact" w:line="360" w:before="0" w:after="60"/>
        <w:jc w:val="both"/>
        <w:rPr/>
      </w:pPr>
      <w:r>
        <w:rPr>
          <w:rFonts w:eastAsia="Arial" w:cs="Arial"/>
          <w:sz w:val="22"/>
          <w:szCs w:val="22"/>
        </w:rPr>
        <w:t>que ninguna empresa pueda acceder a datos de otra y que el rol editor no pueda escribir;</w:t>
      </w:r>
    </w:p>
    <w:p>
      <w:pPr>
        <w:pStyle w:val="ListParagraph"/>
        <w:numPr>
          <w:ilvl w:val="0"/>
          <w:numId w:val="1"/>
        </w:numPr>
        <w:spacing w:lineRule="exact" w:line="360" w:before="0" w:after="60"/>
        <w:jc w:val="both"/>
        <w:rPr/>
      </w:pPr>
      <w:r>
        <w:rPr>
          <w:rFonts w:eastAsia="Arial" w:cs="Arial"/>
          <w:sz w:val="22"/>
          <w:szCs w:val="22"/>
        </w:rPr>
        <w:t>que los datos personales y bancarios estén protegidos en tránsito y en reposo;</w:t>
      </w:r>
    </w:p>
    <w:p>
      <w:pPr>
        <w:pStyle w:val="ListParagraph"/>
        <w:numPr>
          <w:ilvl w:val="0"/>
          <w:numId w:val="1"/>
        </w:numPr>
        <w:spacing w:lineRule="exact" w:line="360" w:before="0" w:after="60"/>
        <w:jc w:val="both"/>
        <w:rPr/>
      </w:pPr>
      <w:r>
        <w:rPr>
          <w:rFonts w:eastAsia="Arial" w:cs="Arial"/>
          <w:sz w:val="22"/>
          <w:szCs w:val="22"/>
        </w:rPr>
        <w:t>que el sistema cumpla los tiempos de respuesta y sea usable para adultos mayores;</w:t>
      </w:r>
    </w:p>
    <w:p>
      <w:pPr>
        <w:pStyle w:val="ListParagraph"/>
        <w:numPr>
          <w:ilvl w:val="0"/>
          <w:numId w:val="1"/>
        </w:numPr>
        <w:spacing w:lineRule="exact" w:line="360" w:before="0" w:after="60"/>
        <w:jc w:val="both"/>
        <w:rPr/>
      </w:pPr>
      <w:r>
        <w:rPr>
          <w:rFonts w:eastAsia="Arial" w:cs="Arial"/>
          <w:sz w:val="22"/>
          <w:szCs w:val="22"/>
        </w:rPr>
        <w:t>que quede evidencia suficiente para demostrar cumplimiento de la Ley 19.628 y la Ley 21.719.</w:t>
      </w:r>
    </w:p>
    <w:p>
      <w:pPr>
        <w:pStyle w:val="Heading2"/>
        <w:rPr/>
      </w:pPr>
      <w:bookmarkStart w:id="4" w:name="__RefHeading___Toc1936_2151982201"/>
      <w:bookmarkEnd w:id="4"/>
      <w:r>
        <w:rPr>
          <w:rFonts w:eastAsia="Arial" w:cs="Arial" w:ascii="Arial" w:hAnsi="Arial"/>
        </w:rPr>
        <w:t>1.4 Alcance</w:t>
      </w:r>
    </w:p>
    <w:p>
      <w:pPr>
        <w:pStyle w:val="Normal"/>
        <w:spacing w:lineRule="exact" w:line="360" w:before="0" w:after="120"/>
        <w:jc w:val="both"/>
        <w:rPr/>
      </w:pPr>
      <w:r>
        <w:rPr>
          <w:rFonts w:eastAsia="Arial" w:cs="Arial"/>
          <w:sz w:val="22"/>
          <w:szCs w:val="22"/>
        </w:rPr>
        <w:t>El plan cubre los requerimientos funcionales RF-1 a RF-6, las reglas de negocio RB-1 a RB-5 y los no funcionales de seguridad, rendimiento, usabilidad, disponibilidad y compatibilidad descritos en la sección 3 de la ERS.</w:t>
      </w:r>
    </w:p>
    <w:p>
      <w:pPr>
        <w:pStyle w:val="Normal"/>
        <w:spacing w:lineRule="exact" w:line="360" w:before="0" w:after="120"/>
        <w:jc w:val="both"/>
        <w:rPr/>
      </w:pPr>
      <w:r>
        <w:rPr>
          <w:rFonts w:eastAsia="Arial" w:cs="Arial"/>
          <w:sz w:val="22"/>
          <w:szCs w:val="22"/>
        </w:rPr>
        <w:t>Quedan fuera la infraestructura física del proveedor de hosting, el funcionamiento interno del servicio de correo (solo se prueba la integración) y cualquier auditoría legal formal, que le corresponde a un abogado y no al equipo de QA.</w:t>
      </w:r>
    </w:p>
    <w:p>
      <w:pPr>
        <w:pStyle w:val="Normal"/>
        <w:rPr/>
      </w:pPr>
      <w:r>
        <w:rPr/>
      </w:r>
      <w:r>
        <w:br w:type="page"/>
      </w:r>
    </w:p>
    <w:p>
      <w:pPr>
        <w:pStyle w:val="Heading1"/>
        <w:spacing w:before="0" w:after="180"/>
        <w:rPr/>
      </w:pPr>
      <w:bookmarkStart w:id="5" w:name="__RefHeading___Toc1938_2151982201"/>
      <w:bookmarkEnd w:id="5"/>
      <w:r>
        <w:rPr>
          <w:rFonts w:eastAsia="Arial" w:cs="Arial" w:ascii="Arial" w:hAnsi="Arial"/>
        </w:rPr>
        <w:t>2. Criterios de calidad</w:t>
      </w:r>
    </w:p>
    <w:p>
      <w:pPr>
        <w:pStyle w:val="Normal"/>
        <w:spacing w:lineRule="exact" w:line="360" w:before="0" w:after="120"/>
        <w:jc w:val="both"/>
        <w:rPr/>
      </w:pPr>
      <w:r>
        <w:rPr>
          <w:rFonts w:eastAsia="Arial" w:cs="Arial"/>
          <w:sz w:val="22"/>
          <w:szCs w:val="22"/>
        </w:rPr>
        <w:t>En este capítulo definimos qué estándares debe cumplir Atlas. Cada criterio está amarrado a un requerimiento de la ERS para que después se pueda probar.</w:t>
      </w:r>
    </w:p>
    <w:p>
      <w:pPr>
        <w:pStyle w:val="Heading2"/>
        <w:rPr/>
      </w:pPr>
      <w:bookmarkStart w:id="6" w:name="__RefHeading___Toc1940_2151982201"/>
      <w:bookmarkEnd w:id="6"/>
      <w:r>
        <w:rPr>
          <w:rFonts w:eastAsia="Arial" w:cs="Arial" w:ascii="Arial" w:hAnsi="Arial"/>
        </w:rPr>
        <w:t>2.1 Calidad del producto</w:t>
      </w:r>
    </w:p>
    <w:p>
      <w:pPr>
        <w:pStyle w:val="Normal"/>
        <w:spacing w:lineRule="exact" w:line="360" w:before="0" w:after="120"/>
        <w:jc w:val="both"/>
        <w:rPr/>
      </w:pPr>
      <w:r>
        <w:rPr>
          <w:rFonts w:eastAsia="Arial" w:cs="Arial"/>
          <w:sz w:val="22"/>
          <w:szCs w:val="22"/>
        </w:rPr>
        <w:t>Usamos como referencia el modelo ISO/IEC 25010. No todas sus características pesan lo mismo en Atlas, así que nos enfocamos en las que la ERS define con algún umbral:</w:t>
      </w:r>
    </w:p>
    <w:tbl>
      <w:tblPr>
        <w:tblW w:w="9026" w:type="dxa"/>
        <w:jc w:val="left"/>
        <w:tblInd w:w="0" w:type="dxa"/>
        <w:tblLayout w:type="fixed"/>
        <w:tblCellMar>
          <w:top w:w="50" w:type="dxa"/>
          <w:left w:w="90" w:type="dxa"/>
          <w:bottom w:w="50" w:type="dxa"/>
          <w:right w:w="90" w:type="dxa"/>
        </w:tblCellMar>
      </w:tblPr>
      <w:tblGrid>
        <w:gridCol w:w="1500"/>
        <w:gridCol w:w="2938"/>
        <w:gridCol w:w="1501"/>
        <w:gridCol w:w="3086"/>
      </w:tblGrid>
      <w:tr>
        <w:trPr>
          <w:tblHeader w:val="true"/>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Característica</w:t>
            </w:r>
          </w:p>
        </w:tc>
        <w:tc>
          <w:tcPr>
            <w:tcW w:w="2938"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Qué esperamos de Atlas</w:t>
            </w:r>
          </w:p>
        </w:tc>
        <w:tc>
          <w:tcPr>
            <w:tcW w:w="1501"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c>
          <w:tcPr>
            <w:tcW w:w="308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Cómo se mide</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Adecuación funcional</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CRUD, estados de contrato y roles funcionan correctamente</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RF-1 a RF-6</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Casos funcionales aprobados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Eficiencia de desempeño</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Respuestas rápidas con carga normal</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NFR-PERF-1 a 3</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p95 &lt; 300 ms, carga &lt; 2 s, 200 usuarios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Pantallas legibles y flujos claros para adultos mayores</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NFR-USAB-1 a 4</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SUS ≥ 70 y sin bloqueos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Confiabilidad</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Disponibilidad y recuperación ante fallos</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NFR-DIS-1, NFR-SEG-7</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Uptime ≥ 99,5 %, respaldo restaurable</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Compatibilidad</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 en los navegadores indicados</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NFR-COMPAT-1 y 2</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Sin defectos bloqueantes en la matriz de navegadores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Mantenibilidad</w:t>
            </w:r>
          </w:p>
        </w:tc>
        <w:tc>
          <w:tcPr>
            <w:tcW w:w="293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Cambios y migraciones sin romper lo existente</w:t>
            </w:r>
          </w:p>
        </w:tc>
        <w:tc>
          <w:tcPr>
            <w:tcW w:w="150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NFR-DIS-2</w:t>
            </w:r>
          </w:p>
        </w:tc>
        <w:tc>
          <w:tcPr>
            <w:tcW w:w="308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Regresión automatizada en cada integración</w:t>
            </w:r>
          </w:p>
        </w:tc>
      </w:tr>
    </w:tbl>
    <w:p>
      <w:pPr>
        <w:pStyle w:val="Normal"/>
        <w:spacing w:before="0" w:after="120"/>
        <w:rPr/>
      </w:pPr>
      <w:r>
        <w:rPr/>
      </w:r>
    </w:p>
    <w:p>
      <w:pPr>
        <w:pStyle w:val="Heading2"/>
        <w:rPr/>
      </w:pPr>
      <w:bookmarkStart w:id="7" w:name="__RefHeading___Toc1942_2151982201"/>
      <w:bookmarkEnd w:id="7"/>
      <w:r>
        <w:rPr>
          <w:rFonts w:eastAsia="Arial" w:cs="Arial" w:ascii="Arial" w:hAnsi="Arial"/>
        </w:rPr>
        <w:t>2.2 Seguridad</w:t>
      </w:r>
    </w:p>
    <w:p>
      <w:pPr>
        <w:pStyle w:val="Normal"/>
        <w:spacing w:lineRule="exact" w:line="360" w:before="0" w:after="120"/>
        <w:jc w:val="both"/>
        <w:rPr/>
      </w:pPr>
      <w:r>
        <w:rPr>
          <w:rFonts w:eastAsia="Arial" w:cs="Arial"/>
          <w:sz w:val="22"/>
          <w:szCs w:val="22"/>
        </w:rPr>
        <w:t>Aquí tomamos como base OWASP Top 10 (2021) y el nivel 2 de OWASP ASVS, que es el recomendado para aplicaciones con datos personales. Los criterios que aplican a Atlas son:</w:t>
      </w:r>
    </w:p>
    <w:p>
      <w:pPr>
        <w:pStyle w:val="ListParagraph"/>
        <w:numPr>
          <w:ilvl w:val="0"/>
          <w:numId w:val="1"/>
        </w:numPr>
        <w:spacing w:lineRule="exact" w:line="360" w:before="0" w:after="60"/>
        <w:jc w:val="both"/>
        <w:rPr/>
      </w:pPr>
      <w:r>
        <w:rPr>
          <w:rFonts w:eastAsia="Arial" w:cs="Arial"/>
          <w:b/>
          <w:bCs/>
          <w:sz w:val="22"/>
          <w:szCs w:val="22"/>
        </w:rPr>
        <w:t>Protección de datos:</w:t>
      </w:r>
      <w:r>
        <w:rPr>
          <w:rFonts w:eastAsia="Arial" w:cs="Arial"/>
          <w:sz w:val="22"/>
          <w:szCs w:val="22"/>
        </w:rPr>
        <w:t xml:space="preserve"> TLS en todas las comunicaciones y cifrado de los datos bancarios en la base de datos (NFR-SEG-1, NFR-SEG-3).</w:t>
      </w:r>
    </w:p>
    <w:p>
      <w:pPr>
        <w:pStyle w:val="ListParagraph"/>
        <w:numPr>
          <w:ilvl w:val="0"/>
          <w:numId w:val="1"/>
        </w:numPr>
        <w:spacing w:lineRule="exact" w:line="360" w:before="0" w:after="60"/>
        <w:jc w:val="both"/>
        <w:rPr/>
      </w:pPr>
      <w:r>
        <w:rPr>
          <w:rFonts w:eastAsia="Arial" w:cs="Arial"/>
          <w:b/>
          <w:bCs/>
          <w:sz w:val="22"/>
          <w:szCs w:val="22"/>
        </w:rPr>
        <w:t>Control de acceso:</w:t>
      </w:r>
      <w:r>
        <w:rPr>
          <w:rFonts w:eastAsia="Arial" w:cs="Arial"/>
          <w:sz w:val="22"/>
          <w:szCs w:val="22"/>
        </w:rPr>
        <w:t xml:space="preserve"> la autorización se valida en el backend según el rol y la empresa del usuario, no solo ocultando botones en la interfaz (NFR-SEG-4, RB-2, RB-4).</w:t>
      </w:r>
    </w:p>
    <w:p>
      <w:pPr>
        <w:pStyle w:val="ListParagraph"/>
        <w:numPr>
          <w:ilvl w:val="0"/>
          <w:numId w:val="1"/>
        </w:numPr>
        <w:spacing w:lineRule="exact" w:line="360" w:before="0" w:after="60"/>
        <w:jc w:val="both"/>
        <w:rPr/>
      </w:pPr>
      <w:r>
        <w:rPr>
          <w:rFonts w:eastAsia="Arial" w:cs="Arial"/>
          <w:b/>
          <w:bCs/>
          <w:sz w:val="22"/>
          <w:szCs w:val="22"/>
        </w:rPr>
        <w:t>Autenticación:</w:t>
      </w:r>
      <w:r>
        <w:rPr>
          <w:rFonts w:eastAsia="Arial" w:cs="Arial"/>
          <w:sz w:val="22"/>
          <w:szCs w:val="22"/>
        </w:rPr>
        <w:t xml:space="preserve"> contraseñas con bcrypt y política de 12 caracteres con complejidad; tokens JWT de corta vigencia que se invalidan al cerrar sesión (RF-1, NFR-SEG-2, NFR-SEG-9).</w:t>
      </w:r>
    </w:p>
    <w:p>
      <w:pPr>
        <w:pStyle w:val="ListParagraph"/>
        <w:numPr>
          <w:ilvl w:val="0"/>
          <w:numId w:val="1"/>
        </w:numPr>
        <w:spacing w:lineRule="exact" w:line="360" w:before="0" w:after="60"/>
        <w:jc w:val="both"/>
        <w:rPr/>
      </w:pPr>
      <w:r>
        <w:rPr>
          <w:rFonts w:eastAsia="Arial" w:cs="Arial"/>
          <w:b/>
          <w:bCs/>
          <w:sz w:val="22"/>
          <w:szCs w:val="22"/>
        </w:rPr>
        <w:t>Manejo de errores:</w:t>
      </w:r>
      <w:r>
        <w:rPr>
          <w:rFonts w:eastAsia="Arial" w:cs="Arial"/>
          <w:sz w:val="22"/>
          <w:szCs w:val="22"/>
        </w:rPr>
        <w:t xml:space="preserve"> mensajes entendibles para el usuario, sin mostrar trazas, consultas SQL ni detalles internos (NFR-USAB-3).</w:t>
      </w:r>
    </w:p>
    <w:p>
      <w:pPr>
        <w:pStyle w:val="ListParagraph"/>
        <w:numPr>
          <w:ilvl w:val="0"/>
          <w:numId w:val="1"/>
        </w:numPr>
        <w:spacing w:lineRule="exact" w:line="360" w:before="0" w:after="60"/>
        <w:jc w:val="both"/>
        <w:rPr/>
      </w:pPr>
      <w:r>
        <w:rPr>
          <w:rFonts w:eastAsia="Arial" w:cs="Arial"/>
          <w:b/>
          <w:bCs/>
          <w:sz w:val="22"/>
          <w:szCs w:val="22"/>
        </w:rPr>
        <w:t>Integridad:</w:t>
      </w:r>
      <w:r>
        <w:rPr>
          <w:rFonts w:eastAsia="Arial" w:cs="Arial"/>
          <w:sz w:val="22"/>
          <w:szCs w:val="22"/>
        </w:rPr>
        <w:t xml:space="preserve"> validación y saneamiento de entradas contra SQL Injection, XSS y CSRF (NFR-SEG-5), y registro de auditoría de las acciones críticas (RF-6.1, NFR-SEG-6).</w:t>
      </w:r>
    </w:p>
    <w:p>
      <w:pPr>
        <w:pStyle w:val="Heading2"/>
        <w:rPr/>
      </w:pPr>
      <w:bookmarkStart w:id="8" w:name="__RefHeading___Toc1944_2151982201"/>
      <w:bookmarkEnd w:id="8"/>
      <w:r>
        <w:rPr>
          <w:rFonts w:eastAsia="Arial" w:cs="Arial" w:ascii="Arial" w:hAnsi="Arial"/>
        </w:rPr>
        <w:t>2.3 Normativas</w:t>
      </w:r>
    </w:p>
    <w:tbl>
      <w:tblPr>
        <w:tblW w:w="9026" w:type="dxa"/>
        <w:jc w:val="left"/>
        <w:tblInd w:w="0" w:type="dxa"/>
        <w:tblLayout w:type="fixed"/>
        <w:tblCellMar>
          <w:top w:w="50" w:type="dxa"/>
          <w:left w:w="90" w:type="dxa"/>
          <w:bottom w:w="50" w:type="dxa"/>
          <w:right w:w="90" w:type="dxa"/>
        </w:tblCellMar>
      </w:tblPr>
      <w:tblGrid>
        <w:gridCol w:w="4513"/>
        <w:gridCol w:w="4512"/>
      </w:tblGrid>
      <w:tr>
        <w:trPr>
          <w:tblHeader w:val="true"/>
        </w:trPr>
        <w:tc>
          <w:tcPr>
            <w:tcW w:w="4513"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Norma</w:t>
            </w:r>
          </w:p>
        </w:tc>
        <w:tc>
          <w:tcPr>
            <w:tcW w:w="4512"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Por qué aplica a Atlas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19.628, protección de la vida privada</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Atlas guarda nombres, contactos, RUT y datos bancarios de clientes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21.719, que moderniza la protección de datos (vigencia prevista para diciembre de 2026)</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Exige seguridad, proporcionalidad y responsabilidad proactiva: hay que poder demostrar las medidas tomadas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21.663, marco de ciberseguridad</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Atlas no es un operador de importancia vital, pero la usamos como guía de seguridad desde el diseño y gestión de incidentes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21.459, delitos informáticos</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Refuerza la necesidad de impedir y registrar accesos no autorizados; el pentest solo se hace con autorización escrita</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17.336, propiedad intelectual</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El proyecto usa librerías de terceros, por lo que hay que revisar sus licencias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 ISO/IEC 27001:2022 e ISO/IEC/IEEE 29119</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Modelo de calidad, controles de seguridad y estructura del proceso de pruebas</w:t>
            </w:r>
          </w:p>
        </w:tc>
      </w:tr>
      <w:tr>
        <w:trPr>
          <w:cantSplit w:val="true"/>
        </w:trPr>
        <w:tc>
          <w:tcPr>
            <w:tcW w:w="4513"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WCAG 2.1 nivel AA</w:t>
            </w:r>
          </w:p>
        </w:tc>
        <w:tc>
          <w:tcPr>
            <w:tcW w:w="451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Accesibilidad web, relevante por el público adulto mayor</w:t>
            </w:r>
          </w:p>
        </w:tc>
      </w:tr>
    </w:tbl>
    <w:p>
      <w:pPr>
        <w:pStyle w:val="Normal"/>
        <w:spacing w:before="0" w:after="120"/>
        <w:rPr/>
      </w:pPr>
      <w:r>
        <w:rPr/>
      </w:r>
    </w:p>
    <w:p>
      <w:pPr>
        <w:pStyle w:val="Heading2"/>
        <w:rPr/>
      </w:pPr>
      <w:bookmarkStart w:id="9" w:name="__RefHeading___Toc1946_2151982201"/>
      <w:bookmarkEnd w:id="9"/>
      <w:r>
        <w:rPr>
          <w:rFonts w:eastAsia="Arial" w:cs="Arial" w:ascii="Arial" w:hAnsi="Arial"/>
        </w:rPr>
        <w:t>2.4 Observaciones a la ERS</w:t>
      </w:r>
    </w:p>
    <w:p>
      <w:pPr>
        <w:pStyle w:val="Normal"/>
        <w:spacing w:lineRule="exact" w:line="360" w:before="0" w:after="120"/>
        <w:jc w:val="both"/>
        <w:rPr/>
      </w:pPr>
      <w:r>
        <w:rPr>
          <w:rFonts w:eastAsia="Arial" w:cs="Arial"/>
          <w:sz w:val="22"/>
          <w:szCs w:val="22"/>
        </w:rPr>
        <w:t>Al leer la ERS encontramos algunos puntos ambiguos o incompletos. Los dejamos anotados porque afectan los criterios de aceptación y deberían aclararse con CreaLab:</w:t>
      </w:r>
    </w:p>
    <w:p>
      <w:pPr>
        <w:pStyle w:val="ListParagraph"/>
        <w:numPr>
          <w:ilvl w:val="0"/>
          <w:numId w:val="6"/>
        </w:numPr>
        <w:spacing w:lineRule="exact" w:line="360" w:before="0" w:after="60"/>
        <w:jc w:val="both"/>
        <w:rPr/>
      </w:pPr>
      <w:r>
        <w:rPr>
          <w:rFonts w:eastAsia="Arial" w:cs="Arial"/>
          <w:sz w:val="22"/>
          <w:szCs w:val="22"/>
        </w:rPr>
        <w:t>Se pide fuente de 12 px, lo que es poco para adultos mayores. Recomendamos al menos 16 px para el texto base.</w:t>
      </w:r>
    </w:p>
    <w:p>
      <w:pPr>
        <w:pStyle w:val="ListParagraph"/>
        <w:numPr>
          <w:ilvl w:val="0"/>
          <w:numId w:val="2"/>
        </w:numPr>
        <w:spacing w:lineRule="exact" w:line="360" w:before="0" w:after="60"/>
        <w:jc w:val="both"/>
        <w:rPr/>
      </w:pPr>
      <w:r>
        <w:rPr>
          <w:rFonts w:eastAsia="Arial" w:cs="Arial"/>
          <w:sz w:val="22"/>
          <w:szCs w:val="22"/>
        </w:rPr>
        <w:t>El rol editor es "solo visualización", pero RF-4.1 dice que "los usuarios" pueden crear clientes. Asumimos que manda RB-4: solo el administrador escribe.</w:t>
      </w:r>
    </w:p>
    <w:p>
      <w:pPr>
        <w:pStyle w:val="ListParagraph"/>
        <w:numPr>
          <w:ilvl w:val="0"/>
          <w:numId w:val="2"/>
        </w:numPr>
        <w:spacing w:lineRule="exact" w:line="360" w:before="0" w:after="60"/>
        <w:jc w:val="both"/>
        <w:rPr/>
      </w:pPr>
      <w:r>
        <w:rPr>
          <w:rFonts w:eastAsia="Arial" w:cs="Arial"/>
          <w:sz w:val="22"/>
          <w:szCs w:val="22"/>
        </w:rPr>
        <w:t>RF-5.2 no fija tamaño máximo de archivo. Proponemos 10 MB y validar el tipo real del archivo.</w:t>
      </w:r>
    </w:p>
    <w:p>
      <w:pPr>
        <w:pStyle w:val="ListParagraph"/>
        <w:numPr>
          <w:ilvl w:val="0"/>
          <w:numId w:val="2"/>
        </w:numPr>
        <w:spacing w:lineRule="exact" w:line="360" w:before="0" w:after="60"/>
        <w:jc w:val="both"/>
        <w:rPr/>
      </w:pPr>
      <w:r>
        <w:rPr>
          <w:rFonts w:eastAsia="Arial" w:cs="Arial"/>
          <w:sz w:val="22"/>
          <w:szCs w:val="22"/>
        </w:rPr>
        <w:t>RF-5.4 menciona el estado "vence" sin decir desde cuántos días. Asumimos 30 días antes del término.</w:t>
      </w:r>
    </w:p>
    <w:p>
      <w:pPr>
        <w:pStyle w:val="ListParagraph"/>
        <w:numPr>
          <w:ilvl w:val="0"/>
          <w:numId w:val="2"/>
        </w:numPr>
        <w:spacing w:lineRule="exact" w:line="360" w:before="0" w:after="60"/>
        <w:jc w:val="both"/>
        <w:rPr/>
      </w:pPr>
      <w:r>
        <w:rPr>
          <w:rFonts w:eastAsia="Arial" w:cs="Arial"/>
          <w:sz w:val="22"/>
          <w:szCs w:val="22"/>
        </w:rPr>
        <w:t>NFR-USAB habla de un "score de usabilidad mínimo aceptable" sin número. Proponemos SUS ≥ 70.</w:t>
      </w:r>
    </w:p>
    <w:p>
      <w:pPr>
        <w:pStyle w:val="ListParagraph"/>
        <w:numPr>
          <w:ilvl w:val="0"/>
          <w:numId w:val="2"/>
        </w:numPr>
        <w:spacing w:lineRule="exact" w:line="360" w:before="0" w:after="60"/>
        <w:jc w:val="both"/>
        <w:rPr/>
      </w:pPr>
      <w:r>
        <w:rPr>
          <w:rFonts w:eastAsia="Arial" w:cs="Arial"/>
          <w:sz w:val="22"/>
          <w:szCs w:val="22"/>
        </w:rPr>
        <w:t>No hay requerimientos sobre consentimiento, derechos de los titulares ni aviso de brechas, que la Ley 21.719 sí exige.</w:t>
      </w:r>
    </w:p>
    <w:p>
      <w:pPr>
        <w:pStyle w:val="Normal"/>
        <w:rPr/>
      </w:pPr>
      <w:r>
        <w:rPr/>
      </w:r>
      <w:r>
        <w:br w:type="page"/>
      </w:r>
    </w:p>
    <w:p>
      <w:pPr>
        <w:pStyle w:val="Heading1"/>
        <w:spacing w:before="0" w:after="180"/>
        <w:rPr/>
      </w:pPr>
      <w:bookmarkStart w:id="10" w:name="__RefHeading___Toc1948_2151982201"/>
      <w:bookmarkEnd w:id="10"/>
      <w:r>
        <w:rPr>
          <w:rFonts w:eastAsia="Arial" w:cs="Arial" w:ascii="Arial" w:hAnsi="Arial"/>
        </w:rPr>
        <w:t>3. Plan de pruebas</w:t>
      </w:r>
    </w:p>
    <w:p>
      <w:pPr>
        <w:pStyle w:val="Heading2"/>
        <w:rPr/>
      </w:pPr>
      <w:bookmarkStart w:id="11" w:name="__RefHeading___Toc1950_2151982201"/>
      <w:bookmarkEnd w:id="11"/>
      <w:r>
        <w:rPr>
          <w:rFonts w:eastAsia="Arial" w:cs="Arial" w:ascii="Arial" w:hAnsi="Arial"/>
        </w:rPr>
        <w:t>3.1 Estrategia de pruebas</w:t>
      </w:r>
    </w:p>
    <w:p>
      <w:pPr>
        <w:pStyle w:val="Heading3"/>
        <w:rPr/>
      </w:pPr>
      <w:r>
        <w:rPr>
          <w:rFonts w:eastAsia="Arial" w:cs="Arial" w:ascii="Arial" w:hAnsi="Arial"/>
        </w:rPr>
        <w:t>Enfoque</w:t>
      </w:r>
    </w:p>
    <w:p>
      <w:pPr>
        <w:pStyle w:val="Normal"/>
        <w:spacing w:lineRule="exact" w:line="360" w:before="0" w:after="120"/>
        <w:jc w:val="both"/>
        <w:rPr/>
      </w:pPr>
      <w:r>
        <w:rPr>
          <w:rFonts w:eastAsia="Arial" w:cs="Arial"/>
          <w:sz w:val="22"/>
          <w:szCs w:val="22"/>
        </w:rPr>
        <w:t>Proponemos un enfoque mixto basado en riesgo. Las pruebas que se repiten en cada cambio (unitarias, API, control de acceso, regresión, carga y análisis de seguridad automático) se automatizan y corren en integración continua. Las que necesitan criterio de una persona, como usabilidad con adultos mayores, accesibilidad con lector de pantalla, pruebas exploratorias y pentest manual, se hacen a mano.</w:t>
      </w:r>
    </w:p>
    <w:p>
      <w:pPr>
        <w:pStyle w:val="Normal"/>
        <w:spacing w:lineRule="exact" w:line="360" w:before="0" w:after="120"/>
        <w:jc w:val="both"/>
        <w:rPr/>
      </w:pPr>
      <w:r>
        <w:rPr>
          <w:rFonts w:eastAsia="Arial" w:cs="Arial"/>
          <w:sz w:val="22"/>
          <w:szCs w:val="22"/>
        </w:rPr>
        <w:t xml:space="preserve">También aplicamos </w:t>
      </w:r>
      <w:r>
        <w:rPr>
          <w:rFonts w:eastAsia="Arial" w:cs="Arial"/>
          <w:i/>
          <w:iCs/>
          <w:sz w:val="22"/>
          <w:szCs w:val="22"/>
        </w:rPr>
        <w:t>shift-left</w:t>
      </w:r>
      <w:r>
        <w:rPr>
          <w:rFonts w:eastAsia="Arial" w:cs="Arial"/>
          <w:sz w:val="22"/>
          <w:szCs w:val="22"/>
        </w:rPr>
        <w:t>: el análisis de código y de dependencias corre desde el primer commit, y no se deja la seguridad para el final. Esto va en la línea de la seguridad por diseño que plantea la Ley 21.663.</w:t>
      </w:r>
    </w:p>
    <w:p>
      <w:pPr>
        <w:pStyle w:val="Heading3"/>
        <w:rPr/>
      </w:pPr>
      <w:r>
        <w:rPr>
          <w:rFonts w:eastAsia="Arial" w:cs="Arial" w:ascii="Arial" w:hAnsi="Arial"/>
        </w:rPr>
        <w:t>Etapas</w:t>
      </w:r>
    </w:p>
    <w:p>
      <w:pPr>
        <w:pStyle w:val="Normal"/>
        <w:spacing w:lineRule="exact" w:line="360" w:before="0" w:after="120"/>
        <w:jc w:val="both"/>
        <w:rPr/>
      </w:pPr>
      <w:r>
        <w:rPr>
          <w:rFonts w:eastAsia="Arial" w:cs="Arial"/>
          <w:sz w:val="22"/>
          <w:szCs w:val="22"/>
        </w:rPr>
        <w:t>Siguiendo ISO/IEC/IEEE 29119, el proceso tiene cinco etapas:</w:t>
      </w:r>
    </w:p>
    <w:p>
      <w:pPr>
        <w:pStyle w:val="ListParagraph"/>
        <w:numPr>
          <w:ilvl w:val="0"/>
          <w:numId w:val="7"/>
        </w:numPr>
        <w:spacing w:lineRule="exact" w:line="360" w:before="0" w:after="60"/>
        <w:jc w:val="both"/>
        <w:rPr/>
      </w:pPr>
      <w:r>
        <w:rPr>
          <w:rFonts w:eastAsia="Arial" w:cs="Arial"/>
          <w:b/>
          <w:bCs/>
          <w:sz w:val="22"/>
          <w:szCs w:val="22"/>
        </w:rPr>
        <w:t>Planificación:</w:t>
      </w:r>
      <w:r>
        <w:rPr>
          <w:rFonts w:eastAsia="Arial" w:cs="Arial"/>
          <w:sz w:val="22"/>
          <w:szCs w:val="22"/>
        </w:rPr>
        <w:t xml:space="preserve"> análisis de la ERS, riesgos, alcance y este plan.</w:t>
      </w:r>
    </w:p>
    <w:p>
      <w:pPr>
        <w:pStyle w:val="ListParagraph"/>
        <w:numPr>
          <w:ilvl w:val="0"/>
          <w:numId w:val="8"/>
        </w:numPr>
        <w:spacing w:lineRule="exact" w:line="360" w:before="0" w:after="60"/>
        <w:jc w:val="both"/>
        <w:rPr/>
      </w:pPr>
      <w:r>
        <w:rPr>
          <w:rFonts w:eastAsia="Arial" w:cs="Arial"/>
          <w:b/>
          <w:bCs/>
          <w:sz w:val="22"/>
          <w:szCs w:val="22"/>
        </w:rPr>
        <w:t>Diseño:</w:t>
      </w:r>
      <w:r>
        <w:rPr>
          <w:rFonts w:eastAsia="Arial" w:cs="Arial"/>
          <w:sz w:val="22"/>
          <w:szCs w:val="22"/>
        </w:rPr>
        <w:t xml:space="preserve"> casos de prueba, datos de prueba y matriz de trazabilidad.</w:t>
      </w:r>
    </w:p>
    <w:p>
      <w:pPr>
        <w:pStyle w:val="ListParagraph"/>
        <w:numPr>
          <w:ilvl w:val="0"/>
          <w:numId w:val="9"/>
        </w:numPr>
        <w:spacing w:lineRule="exact" w:line="360" w:before="0" w:after="60"/>
        <w:jc w:val="both"/>
        <w:rPr/>
      </w:pPr>
      <w:r>
        <w:rPr>
          <w:rFonts w:eastAsia="Arial" w:cs="Arial"/>
          <w:b/>
          <w:bCs/>
          <w:sz w:val="22"/>
          <w:szCs w:val="22"/>
        </w:rPr>
        <w:t>Preparación:</w:t>
      </w:r>
      <w:r>
        <w:rPr>
          <w:rFonts w:eastAsia="Arial" w:cs="Arial"/>
          <w:sz w:val="22"/>
          <w:szCs w:val="22"/>
        </w:rPr>
        <w:t xml:space="preserve"> ambiente QA, datos ficticios, herramientas y pipeline.</w:t>
      </w:r>
    </w:p>
    <w:p>
      <w:pPr>
        <w:pStyle w:val="ListParagraph"/>
        <w:numPr>
          <w:ilvl w:val="0"/>
          <w:numId w:val="10"/>
        </w:numPr>
        <w:spacing w:lineRule="exact" w:line="360" w:before="0" w:after="60"/>
        <w:jc w:val="both"/>
        <w:rPr/>
      </w:pPr>
      <w:r>
        <w:rPr>
          <w:rFonts w:eastAsia="Arial" w:cs="Arial"/>
          <w:b/>
          <w:bCs/>
          <w:sz w:val="22"/>
          <w:szCs w:val="22"/>
        </w:rPr>
        <w:t>Ejecución:</w:t>
      </w:r>
      <w:r>
        <w:rPr>
          <w:rFonts w:eastAsia="Arial" w:cs="Arial"/>
          <w:sz w:val="22"/>
          <w:szCs w:val="22"/>
        </w:rPr>
        <w:t xml:space="preserve"> unitarias → integración y API → sistema → no funcionales → seguridad → aceptación del cliente.</w:t>
      </w:r>
    </w:p>
    <w:p>
      <w:pPr>
        <w:pStyle w:val="ListParagraph"/>
        <w:numPr>
          <w:ilvl w:val="0"/>
          <w:numId w:val="11"/>
        </w:numPr>
        <w:spacing w:lineRule="exact" w:line="360" w:before="0" w:after="60"/>
        <w:jc w:val="both"/>
        <w:rPr/>
      </w:pPr>
      <w:r>
        <w:rPr>
          <w:rFonts w:eastAsia="Arial" w:cs="Arial"/>
          <w:b/>
          <w:bCs/>
          <w:sz w:val="22"/>
          <w:szCs w:val="22"/>
        </w:rPr>
        <w:t>Cierre:</w:t>
      </w:r>
      <w:r>
        <w:rPr>
          <w:rFonts w:eastAsia="Arial" w:cs="Arial"/>
          <w:sz w:val="22"/>
          <w:szCs w:val="22"/>
        </w:rPr>
        <w:t xml:space="preserve"> revisión de criterios de salida e informe de resultados.</w:t>
      </w:r>
    </w:p>
    <w:p>
      <w:pPr>
        <w:pStyle w:val="Heading3"/>
        <w:rPr/>
      </w:pPr>
      <w:r>
        <w:rPr>
          <w:rFonts w:eastAsia="Arial" w:cs="Arial" w:ascii="Arial" w:hAnsi="Arial"/>
        </w:rPr>
        <w:t>Priorización</w:t>
      </w:r>
    </w:p>
    <w:p>
      <w:pPr>
        <w:pStyle w:val="Normal"/>
        <w:spacing w:lineRule="exact" w:line="360" w:before="0" w:after="120"/>
        <w:jc w:val="both"/>
        <w:rPr/>
      </w:pPr>
      <w:r>
        <w:rPr>
          <w:rFonts w:eastAsia="Arial" w:cs="Arial"/>
          <w:sz w:val="22"/>
          <w:szCs w:val="22"/>
        </w:rPr>
        <w:t>La prioridad sale de cruzar probabilidad e impacto, dando más peso cuando hay datos personales o bancarios de por medio.</w:t>
      </w:r>
    </w:p>
    <w:tbl>
      <w:tblPr>
        <w:tblW w:w="9026" w:type="dxa"/>
        <w:jc w:val="left"/>
        <w:tblInd w:w="0" w:type="dxa"/>
        <w:tblLayout w:type="fixed"/>
        <w:tblCellMar>
          <w:top w:w="50" w:type="dxa"/>
          <w:left w:w="90" w:type="dxa"/>
          <w:bottom w:w="50" w:type="dxa"/>
          <w:right w:w="90" w:type="dxa"/>
        </w:tblCellMar>
      </w:tblPr>
      <w:tblGrid>
        <w:gridCol w:w="1500"/>
        <w:gridCol w:w="5571"/>
        <w:gridCol w:w="1955"/>
      </w:tblGrid>
      <w:tr>
        <w:trPr>
          <w:tblHeader w:val="true"/>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Prioridad</w:t>
            </w:r>
          </w:p>
        </w:tc>
        <w:tc>
          <w:tcPr>
            <w:tcW w:w="5571"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Riesgo</w:t>
            </w:r>
          </w:p>
        </w:tc>
        <w:tc>
          <w:tcPr>
            <w:tcW w:w="1955"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P1</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Una empresa ve datos de otra, o un editor logra modificar información</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RB-2, RB-4, NFR-SEG-4</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P1</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Inyección SQL, XSS o CSRF</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NFR-SEG-5</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P1</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Sesión que sigue válida después del logout o token manipulado</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RF-1.2, NFR-SEG-9</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P2</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Estado de contrato mal calculado o CRUD con validaciones fallidas</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RF-4, RF-5.4</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P2</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se cumplen los tiempos de respuesta</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P3</w:t>
            </w:r>
          </w:p>
        </w:tc>
        <w:tc>
          <w:tcPr>
            <w:tcW w:w="557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Barreras de usabilidad o diferencias entre navegadores</w:t>
            </w:r>
          </w:p>
        </w:tc>
        <w:tc>
          <w:tcPr>
            <w:tcW w:w="195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 NFR-COMPAT</w:t>
            </w:r>
          </w:p>
        </w:tc>
      </w:tr>
    </w:tbl>
    <w:p>
      <w:pPr>
        <w:pStyle w:val="Normal"/>
        <w:spacing w:before="0" w:after="120"/>
        <w:rPr/>
      </w:pPr>
      <w:r>
        <w:rPr/>
      </w:r>
    </w:p>
    <w:p>
      <w:pPr>
        <w:pStyle w:val="Heading3"/>
        <w:rPr/>
      </w:pPr>
      <w:r>
        <w:rPr>
          <w:rFonts w:eastAsia="Arial" w:cs="Arial" w:ascii="Arial" w:hAnsi="Arial"/>
        </w:rPr>
        <w:t>Criterios de entrada y salida</w:t>
      </w:r>
    </w:p>
    <w:p>
      <w:pPr>
        <w:pStyle w:val="Normal"/>
        <w:spacing w:lineRule="exact" w:line="360" w:before="0" w:after="120"/>
        <w:jc w:val="both"/>
        <w:rPr/>
      </w:pPr>
      <w:r>
        <w:rPr>
          <w:rFonts w:eastAsia="Arial" w:cs="Arial"/>
          <w:sz w:val="22"/>
          <w:szCs w:val="22"/>
        </w:rPr>
        <w:t>Para empezar a ejecutar necesitamos la ERS aprobada (con las dudas de la sección 2.4 resueltas o asumidas), el build desplegado en QA con TLS, las pruebas unitarias en verde, datos ficticios cargados y la autorización escrita para el pentest.</w:t>
      </w:r>
    </w:p>
    <w:p>
      <w:pPr>
        <w:pStyle w:val="Normal"/>
        <w:spacing w:lineRule="exact" w:line="360" w:before="0" w:after="120"/>
        <w:jc w:val="both"/>
        <w:rPr/>
      </w:pPr>
      <w:r>
        <w:rPr>
          <w:rFonts w:eastAsia="Arial" w:cs="Arial"/>
          <w:sz w:val="22"/>
          <w:szCs w:val="22"/>
        </w:rPr>
        <w:t>Damos por terminadas las pruebas cuando:</w:t>
      </w:r>
    </w:p>
    <w:p>
      <w:pPr>
        <w:pStyle w:val="ListParagraph"/>
        <w:numPr>
          <w:ilvl w:val="0"/>
          <w:numId w:val="1"/>
        </w:numPr>
        <w:spacing w:lineRule="exact" w:line="360" w:before="0" w:after="60"/>
        <w:jc w:val="both"/>
        <w:rPr/>
      </w:pPr>
      <w:r>
        <w:rPr>
          <w:rFonts w:eastAsia="Arial" w:cs="Arial"/>
          <w:sz w:val="22"/>
          <w:szCs w:val="22"/>
        </w:rPr>
        <w:t>el 100 % de los casos P1 está aprobado;</w:t>
      </w:r>
    </w:p>
    <w:p>
      <w:pPr>
        <w:pStyle w:val="ListParagraph"/>
        <w:numPr>
          <w:ilvl w:val="0"/>
          <w:numId w:val="1"/>
        </w:numPr>
        <w:spacing w:lineRule="exact" w:line="360" w:before="0" w:after="60"/>
        <w:jc w:val="both"/>
        <w:rPr/>
      </w:pPr>
      <w:r>
        <w:rPr>
          <w:rFonts w:eastAsia="Arial" w:cs="Arial"/>
          <w:sz w:val="22"/>
          <w:szCs w:val="22"/>
        </w:rPr>
        <w:t>no quedan defectos abiertos de severidad crítica o alta;</w:t>
      </w:r>
    </w:p>
    <w:p>
      <w:pPr>
        <w:pStyle w:val="ListParagraph"/>
        <w:numPr>
          <w:ilvl w:val="0"/>
          <w:numId w:val="1"/>
        </w:numPr>
        <w:spacing w:lineRule="exact" w:line="360" w:before="0" w:after="60"/>
        <w:jc w:val="both"/>
        <w:rPr/>
      </w:pPr>
      <w:r>
        <w:rPr>
          <w:rFonts w:eastAsia="Arial" w:cs="Arial"/>
          <w:sz w:val="22"/>
          <w:szCs w:val="22"/>
        </w:rPr>
        <w:t>OWASP ZAP y el pentest no reportan vulnerabilidades críticas ni altas;</w:t>
      </w:r>
    </w:p>
    <w:p>
      <w:pPr>
        <w:pStyle w:val="ListParagraph"/>
        <w:numPr>
          <w:ilvl w:val="0"/>
          <w:numId w:val="1"/>
        </w:numPr>
        <w:spacing w:lineRule="exact" w:line="360" w:before="0" w:after="60"/>
        <w:jc w:val="both"/>
        <w:rPr/>
      </w:pPr>
      <w:r>
        <w:rPr>
          <w:rFonts w:eastAsia="Arial" w:cs="Arial"/>
          <w:sz w:val="22"/>
          <w:szCs w:val="22"/>
        </w:rPr>
        <w:t>se cumplen los umbrales de NFR-PERF y el SUS es de 70 o más;</w:t>
      </w:r>
    </w:p>
    <w:p>
      <w:pPr>
        <w:pStyle w:val="ListParagraph"/>
        <w:numPr>
          <w:ilvl w:val="0"/>
          <w:numId w:val="1"/>
        </w:numPr>
        <w:spacing w:lineRule="exact" w:line="360" w:before="0" w:after="60"/>
        <w:jc w:val="both"/>
        <w:rPr/>
      </w:pPr>
      <w:r>
        <w:rPr>
          <w:rFonts w:eastAsia="Arial" w:cs="Arial"/>
          <w:sz w:val="22"/>
          <w:szCs w:val="22"/>
        </w:rPr>
        <w:t>el Product Owner aprueba el informe de resultados.</w:t>
      </w:r>
    </w:p>
    <w:p>
      <w:pPr>
        <w:pStyle w:val="Normal"/>
        <w:spacing w:lineRule="exact" w:line="360" w:before="0" w:after="120"/>
        <w:jc w:val="both"/>
        <w:rPr/>
      </w:pPr>
      <w:r>
        <w:rPr>
          <w:rFonts w:eastAsia="Arial" w:cs="Arial"/>
          <w:sz w:val="22"/>
          <w:szCs w:val="22"/>
        </w:rPr>
        <w:t>Si un defecto bloquea más del 30 % de los casos o aparece una vulnerabilidad que expone datos, se suspende la ejecución hasta corregirlo y se repite la regresión del módulo afectado.</w:t>
      </w:r>
    </w:p>
    <w:p>
      <w:pPr>
        <w:pStyle w:val="Heading2"/>
        <w:rPr/>
      </w:pPr>
      <w:bookmarkStart w:id="12" w:name="__RefHeading___Toc1952_2151982201"/>
      <w:bookmarkEnd w:id="12"/>
      <w:r>
        <w:rPr>
          <w:rFonts w:eastAsia="Arial" w:cs="Arial" w:ascii="Arial" w:hAnsi="Arial"/>
        </w:rPr>
        <w:t>3.2 Tipos de prueba</w:t>
      </w:r>
    </w:p>
    <w:p>
      <w:pPr>
        <w:pStyle w:val="Heading3"/>
        <w:rPr/>
      </w:pPr>
      <w:r>
        <w:rPr>
          <w:rFonts w:eastAsia="Arial" w:cs="Arial" w:ascii="Arial" w:hAnsi="Arial"/>
        </w:rPr>
        <w:t>Pruebas funcionales</w:t>
      </w:r>
    </w:p>
    <w:p>
      <w:pPr>
        <w:pStyle w:val="Normal"/>
        <w:spacing w:lineRule="exact" w:line="360" w:before="0" w:after="120"/>
        <w:jc w:val="both"/>
        <w:rPr/>
      </w:pPr>
      <w:r>
        <w:rPr>
          <w:rFonts w:eastAsia="Arial" w:cs="Arial"/>
          <w:sz w:val="22"/>
          <w:szCs w:val="22"/>
        </w:rPr>
        <w:t xml:space="preserve">Verifican que Atlas haga lo que dice la ERS. Incluyen pruebas </w:t>
      </w:r>
      <w:r>
        <w:rPr>
          <w:rFonts w:eastAsia="Arial" w:cs="Arial"/>
          <w:b/>
          <w:bCs/>
          <w:sz w:val="22"/>
          <w:szCs w:val="22"/>
        </w:rPr>
        <w:t>unitarias</w:t>
      </w:r>
      <w:r>
        <w:rPr>
          <w:rFonts w:eastAsia="Arial" w:cs="Arial"/>
          <w:sz w:val="22"/>
          <w:szCs w:val="22"/>
        </w:rPr>
        <w:t xml:space="preserve"> para la lógica aislada (cálculo del estado del contrato, validación de RUT, política de contraseñas), pruebas de </w:t>
      </w:r>
      <w:r>
        <w:rPr>
          <w:rFonts w:eastAsia="Arial" w:cs="Arial"/>
          <w:b/>
          <w:bCs/>
          <w:sz w:val="22"/>
          <w:szCs w:val="22"/>
        </w:rPr>
        <w:t>sistema</w:t>
      </w:r>
      <w:r>
        <w:rPr>
          <w:rFonts w:eastAsia="Arial" w:cs="Arial"/>
          <w:sz w:val="22"/>
          <w:szCs w:val="22"/>
        </w:rPr>
        <w:t xml:space="preserve"> que recorren flujos completos desde la interfaz (registro, creación de empresa, alta de cliente y contrato) y pruebas de </w:t>
      </w:r>
      <w:r>
        <w:rPr>
          <w:rFonts w:eastAsia="Arial" w:cs="Arial"/>
          <w:b/>
          <w:bCs/>
          <w:sz w:val="22"/>
          <w:szCs w:val="22"/>
        </w:rPr>
        <w:t>regresión</w:t>
      </w:r>
      <w:r>
        <w:rPr>
          <w:rFonts w:eastAsia="Arial" w:cs="Arial"/>
          <w:sz w:val="22"/>
          <w:szCs w:val="22"/>
        </w:rPr>
        <w:t xml:space="preserve"> que se repiten en cada cambio. Las reglas de negocio RB-1 a RB-5 se prueban aquí.</w:t>
      </w:r>
    </w:p>
    <w:p>
      <w:pPr>
        <w:pStyle w:val="Heading3"/>
        <w:rPr/>
      </w:pPr>
      <w:r>
        <w:rPr>
          <w:rFonts w:eastAsia="Arial" w:cs="Arial" w:ascii="Arial" w:hAnsi="Arial"/>
        </w:rPr>
        <w:t>Pruebas de integración</w:t>
      </w:r>
    </w:p>
    <w:p>
      <w:pPr>
        <w:pStyle w:val="Normal"/>
        <w:spacing w:lineRule="exact" w:line="360" w:before="0" w:after="120"/>
        <w:jc w:val="both"/>
        <w:rPr/>
      </w:pPr>
      <w:r>
        <w:rPr>
          <w:rFonts w:eastAsia="Arial" w:cs="Arial"/>
          <w:sz w:val="22"/>
          <w:szCs w:val="22"/>
        </w:rPr>
        <w:t>Comprueban que frontend, API, base de datos y almacenamiento de documentos funcionen juntos. El ejemplo más claro es la carga de un documento: pasa por la API, se guarda en el storage interno, se referencia en PostgreSQL y genera un registro de auditoría (RF-5.2, RF-5.3, RF-6.1). Aquí también entra la colección Swagger/Postman de endpoints críticos que pide la sección 3.1.2 de la ERS.</w:t>
      </w:r>
    </w:p>
    <w:p>
      <w:pPr>
        <w:pStyle w:val="Heading3"/>
        <w:rPr/>
      </w:pPr>
      <w:r>
        <w:rPr>
          <w:rFonts w:eastAsia="Arial" w:cs="Arial" w:ascii="Arial" w:hAnsi="Arial"/>
        </w:rPr>
        <w:t>Pruebas de seguridad</w:t>
      </w:r>
    </w:p>
    <w:p>
      <w:pPr>
        <w:pStyle w:val="Normal"/>
        <w:spacing w:lineRule="exact" w:line="360" w:before="0" w:after="120"/>
        <w:jc w:val="both"/>
        <w:rPr/>
      </w:pPr>
      <w:r>
        <w:rPr>
          <w:rFonts w:eastAsia="Arial" w:cs="Arial"/>
          <w:sz w:val="22"/>
          <w:szCs w:val="22"/>
        </w:rPr>
        <w:t>Son las de mayor prioridad por el tipo de datos que maneja Atlas. Contemplan análisis estático del código y de dependencias, escaneo dinámico de la aplicación en QA, pruebas de control de acceso (intentar escribir con un editor o pedir recursos de otra empresa cambiando el ID), pruebas de sesión y tokens, revisión de TLS y cifrado en reposo, y un pentest manual con checklist ASVS antes de producción.</w:t>
      </w:r>
    </w:p>
    <w:p>
      <w:pPr>
        <w:pStyle w:val="Heading3"/>
        <w:rPr/>
      </w:pPr>
      <w:r>
        <w:rPr>
          <w:rFonts w:eastAsia="Arial" w:cs="Arial" w:ascii="Arial" w:hAnsi="Arial"/>
        </w:rPr>
        <w:t>Pruebas de rendimiento</w:t>
      </w:r>
    </w:p>
    <w:p>
      <w:pPr>
        <w:pStyle w:val="Normal"/>
        <w:spacing w:lineRule="exact" w:line="360" w:before="0" w:after="120"/>
        <w:jc w:val="both"/>
        <w:rPr/>
      </w:pPr>
      <w:r>
        <w:rPr>
          <w:rFonts w:eastAsia="Arial" w:cs="Arial"/>
          <w:sz w:val="22"/>
          <w:szCs w:val="22"/>
        </w:rPr>
        <w:t>Buscan demostrar los umbrales de NFR-PERF: menos de 300 ms en operaciones CRUD simples, carga de la página principal en menos de 2 s en red móvil y soporte para 200 usuarios concurrentes. Se hace una prueba de carga con la concurrencia esperada y una de estrés para ver dónde se degrada el sistema.</w:t>
      </w:r>
    </w:p>
    <w:p>
      <w:pPr>
        <w:pStyle w:val="Heading3"/>
        <w:rPr/>
      </w:pPr>
      <w:r>
        <w:rPr>
          <w:rFonts w:eastAsia="Arial" w:cs="Arial" w:ascii="Arial" w:hAnsi="Arial"/>
        </w:rPr>
        <w:t>Pruebas de usabilidad y accesibilidad</w:t>
      </w:r>
    </w:p>
    <w:p>
      <w:pPr>
        <w:pStyle w:val="Normal"/>
        <w:spacing w:lineRule="exact" w:line="360" w:before="0" w:after="120"/>
        <w:jc w:val="both"/>
        <w:rPr/>
      </w:pPr>
      <w:r>
        <w:rPr>
          <w:rFonts w:eastAsia="Arial" w:cs="Arial"/>
          <w:sz w:val="22"/>
          <w:szCs w:val="22"/>
        </w:rPr>
        <w:t>Se hacen sesiones con 5 adultos mayores, como pide la ERS, midiendo tareas completadas, errores y el puntaje SUS. En paralelo se revisa la conformidad con WCAG 2.1 AA: contraste, etiquetas ARIA, navegación con teclado y tamaño de los controles táctiles.</w:t>
      </w:r>
    </w:p>
    <w:p>
      <w:pPr>
        <w:pStyle w:val="Heading3"/>
        <w:rPr/>
      </w:pPr>
      <w:r>
        <w:rPr>
          <w:rFonts w:eastAsia="Arial" w:cs="Arial" w:ascii="Arial" w:hAnsi="Arial"/>
        </w:rPr>
        <w:t>Pruebas de compatibilidad</w:t>
      </w:r>
    </w:p>
    <w:p>
      <w:pPr>
        <w:pStyle w:val="Normal"/>
        <w:spacing w:lineRule="exact" w:line="360" w:before="0" w:after="120"/>
        <w:jc w:val="both"/>
        <w:rPr/>
      </w:pPr>
      <w:r>
        <w:rPr>
          <w:rFonts w:eastAsia="Arial" w:cs="Arial"/>
          <w:sz w:val="22"/>
          <w:szCs w:val="22"/>
        </w:rPr>
        <w:t>Se ejecutan los flujos principales en las dos últimas versiones de Chrome, Firefox, Safari y Edge, y en celular, tablet y escritorio (NFR-COMPAT-1 y 2).</w:t>
      </w:r>
    </w:p>
    <w:p>
      <w:pPr>
        <w:pStyle w:val="Heading2"/>
        <w:rPr/>
      </w:pPr>
      <w:bookmarkStart w:id="13" w:name="__RefHeading___Toc1954_2151982201"/>
      <w:bookmarkEnd w:id="13"/>
      <w:r>
        <w:rPr>
          <w:rFonts w:eastAsia="Arial" w:cs="Arial" w:ascii="Arial" w:hAnsi="Arial"/>
        </w:rPr>
        <w:t>3.3 Criterios de aceptación</w:t>
      </w:r>
    </w:p>
    <w:p>
      <w:pPr>
        <w:pStyle w:val="Normal"/>
        <w:spacing w:lineRule="exact" w:line="360" w:before="0" w:after="120"/>
        <w:jc w:val="both"/>
        <w:rPr/>
      </w:pPr>
      <w:r>
        <w:rPr>
          <w:rFonts w:eastAsia="Arial" w:cs="Arial"/>
          <w:sz w:val="22"/>
          <w:szCs w:val="22"/>
        </w:rPr>
        <w:t>Además del criterio propio de cada caso, un caso solo se aprueba si cumple estas condiciones generales:</w:t>
      </w:r>
    </w:p>
    <w:p>
      <w:pPr>
        <w:pStyle w:val="Normal"/>
        <w:spacing w:lineRule="exact" w:line="360" w:before="0" w:after="120"/>
        <w:jc w:val="both"/>
        <w:rPr/>
      </w:pPr>
      <w:r>
        <w:rPr>
          <w:rFonts w:eastAsia="Arial" w:cs="Arial"/>
          <w:b/>
          <w:bCs/>
          <w:sz w:val="22"/>
          <w:szCs w:val="22"/>
        </w:rPr>
        <w:t>Funcionales</w:t>
      </w:r>
    </w:p>
    <w:p>
      <w:pPr>
        <w:pStyle w:val="ListParagraph"/>
        <w:numPr>
          <w:ilvl w:val="0"/>
          <w:numId w:val="1"/>
        </w:numPr>
        <w:spacing w:lineRule="exact" w:line="360" w:before="0" w:after="60"/>
        <w:jc w:val="both"/>
        <w:rPr/>
      </w:pPr>
      <w:r>
        <w:rPr>
          <w:rFonts w:eastAsia="Arial" w:cs="Arial"/>
          <w:sz w:val="22"/>
          <w:szCs w:val="22"/>
        </w:rPr>
        <w:t>La operación se completa y los datos quedan bien guardados.</w:t>
      </w:r>
    </w:p>
    <w:p>
      <w:pPr>
        <w:pStyle w:val="ListParagraph"/>
        <w:numPr>
          <w:ilvl w:val="0"/>
          <w:numId w:val="1"/>
        </w:numPr>
        <w:spacing w:lineRule="exact" w:line="360" w:before="0" w:after="60"/>
        <w:jc w:val="both"/>
        <w:rPr/>
      </w:pPr>
      <w:r>
        <w:rPr>
          <w:rFonts w:eastAsia="Arial" w:cs="Arial"/>
          <w:sz w:val="22"/>
          <w:szCs w:val="22"/>
        </w:rPr>
        <w:t>Las validaciones existen también en el backend: una petición directa a la API con datos inválidos responde 400 o 422.</w:t>
      </w:r>
    </w:p>
    <w:p>
      <w:pPr>
        <w:pStyle w:val="ListParagraph"/>
        <w:numPr>
          <w:ilvl w:val="0"/>
          <w:numId w:val="1"/>
        </w:numPr>
        <w:spacing w:lineRule="exact" w:line="360" w:before="0" w:after="60"/>
        <w:jc w:val="both"/>
        <w:rPr/>
      </w:pPr>
      <w:r>
        <w:rPr>
          <w:rFonts w:eastAsia="Arial" w:cs="Arial"/>
          <w:sz w:val="22"/>
          <w:szCs w:val="22"/>
        </w:rPr>
        <w:t>Las eliminaciones son lógicas y piden confirmación.</w:t>
      </w:r>
    </w:p>
    <w:p>
      <w:pPr>
        <w:pStyle w:val="Normal"/>
        <w:spacing w:lineRule="exact" w:line="360" w:before="0" w:after="120"/>
        <w:jc w:val="both"/>
        <w:rPr/>
      </w:pPr>
      <w:r>
        <w:rPr>
          <w:rFonts w:eastAsia="Arial" w:cs="Arial"/>
          <w:b/>
          <w:bCs/>
          <w:sz w:val="22"/>
          <w:szCs w:val="22"/>
        </w:rPr>
        <w:t>No funcionales</w:t>
      </w:r>
    </w:p>
    <w:p>
      <w:pPr>
        <w:pStyle w:val="ListParagraph"/>
        <w:numPr>
          <w:ilvl w:val="0"/>
          <w:numId w:val="1"/>
        </w:numPr>
        <w:spacing w:lineRule="exact" w:line="360" w:before="0" w:after="60"/>
        <w:jc w:val="both"/>
        <w:rPr/>
      </w:pPr>
      <w:r>
        <w:rPr>
          <w:rFonts w:eastAsia="Arial" w:cs="Arial"/>
          <w:sz w:val="22"/>
          <w:szCs w:val="22"/>
        </w:rPr>
        <w:t>CRUD simples con p95 bajo 300 ms y página principal bajo 2 s.</w:t>
      </w:r>
    </w:p>
    <w:p>
      <w:pPr>
        <w:pStyle w:val="ListParagraph"/>
        <w:numPr>
          <w:ilvl w:val="0"/>
          <w:numId w:val="1"/>
        </w:numPr>
        <w:spacing w:lineRule="exact" w:line="360" w:before="0" w:after="60"/>
        <w:jc w:val="both"/>
        <w:rPr/>
      </w:pPr>
      <w:r>
        <w:rPr>
          <w:rFonts w:eastAsia="Arial" w:cs="Arial"/>
          <w:sz w:val="22"/>
          <w:szCs w:val="22"/>
        </w:rPr>
        <w:t>Tasa de error menor a 1 % con 200 usuarios concurrentes.</w:t>
      </w:r>
    </w:p>
    <w:p>
      <w:pPr>
        <w:pStyle w:val="ListParagraph"/>
        <w:numPr>
          <w:ilvl w:val="0"/>
          <w:numId w:val="1"/>
        </w:numPr>
        <w:spacing w:lineRule="exact" w:line="360" w:before="0" w:after="60"/>
        <w:jc w:val="both"/>
        <w:rPr/>
      </w:pPr>
      <w:r>
        <w:rPr>
          <w:rFonts w:eastAsia="Arial" w:cs="Arial"/>
          <w:sz w:val="22"/>
          <w:szCs w:val="22"/>
        </w:rPr>
        <w:t>Sin incumplimientos críticos de WCAG 2.1 AA.</w:t>
      </w:r>
    </w:p>
    <w:p>
      <w:pPr>
        <w:pStyle w:val="Normal"/>
        <w:spacing w:lineRule="exact" w:line="360" w:before="0" w:after="120"/>
        <w:jc w:val="both"/>
        <w:rPr/>
      </w:pPr>
      <w:r>
        <w:rPr>
          <w:rFonts w:eastAsia="Arial" w:cs="Arial"/>
          <w:b/>
          <w:bCs/>
          <w:sz w:val="22"/>
          <w:szCs w:val="22"/>
        </w:rPr>
        <w:t>Seguridad y reglas de negocio</w:t>
      </w:r>
    </w:p>
    <w:p>
      <w:pPr>
        <w:pStyle w:val="ListParagraph"/>
        <w:numPr>
          <w:ilvl w:val="0"/>
          <w:numId w:val="1"/>
        </w:numPr>
        <w:spacing w:lineRule="exact" w:line="360" w:before="0" w:after="60"/>
        <w:jc w:val="both"/>
        <w:rPr/>
      </w:pPr>
      <w:r>
        <w:rPr>
          <w:rFonts w:eastAsia="Arial" w:cs="Arial"/>
          <w:sz w:val="22"/>
          <w:szCs w:val="22"/>
        </w:rPr>
        <w:t>Un recurso sin autorización responde 401 o 403 sin revelar si existe.</w:t>
      </w:r>
    </w:p>
    <w:p>
      <w:pPr>
        <w:pStyle w:val="ListParagraph"/>
        <w:numPr>
          <w:ilvl w:val="0"/>
          <w:numId w:val="1"/>
        </w:numPr>
        <w:spacing w:lineRule="exact" w:line="360" w:before="0" w:after="60"/>
        <w:jc w:val="both"/>
        <w:rPr/>
      </w:pPr>
      <w:r>
        <w:rPr>
          <w:rFonts w:eastAsia="Arial" w:cs="Arial"/>
          <w:sz w:val="22"/>
          <w:szCs w:val="22"/>
        </w:rPr>
        <w:t>Ningún mensaje muestra contraseñas, tokens, trazas o SQL.</w:t>
      </w:r>
    </w:p>
    <w:p>
      <w:pPr>
        <w:pStyle w:val="ListParagraph"/>
        <w:numPr>
          <w:ilvl w:val="0"/>
          <w:numId w:val="1"/>
        </w:numPr>
        <w:spacing w:lineRule="exact" w:line="360" w:before="0" w:after="60"/>
        <w:jc w:val="both"/>
        <w:rPr/>
      </w:pPr>
      <w:r>
        <w:rPr>
          <w:rFonts w:eastAsia="Arial" w:cs="Arial"/>
          <w:sz w:val="22"/>
          <w:szCs w:val="22"/>
        </w:rPr>
        <w:t>Solo usuarios de la empresa ven sus datos, y el editor no puede crear, editar ni eliminar.</w:t>
      </w:r>
    </w:p>
    <w:p>
      <w:pPr>
        <w:pStyle w:val="Normal"/>
        <w:spacing w:lineRule="exact" w:line="360" w:before="0" w:after="120"/>
        <w:jc w:val="both"/>
        <w:rPr/>
      </w:pPr>
      <w:r>
        <w:rPr>
          <w:rFonts w:eastAsia="Arial" w:cs="Arial"/>
          <w:sz w:val="22"/>
          <w:szCs w:val="22"/>
        </w:rPr>
        <w:t>Los defectos se clasifican en crítico, alto, medio o bajo. Los críticos y altos bloquean la liberación; los medios y bajos se aceptan con fecha de corrección.</w:t>
      </w:r>
    </w:p>
    <w:p>
      <w:pPr>
        <w:pStyle w:val="Heading2"/>
        <w:rPr/>
      </w:pPr>
      <w:bookmarkStart w:id="14" w:name="__RefHeading___Toc1956_2151982201"/>
      <w:bookmarkEnd w:id="14"/>
      <w:r>
        <w:rPr>
          <w:rFonts w:eastAsia="Arial" w:cs="Arial" w:ascii="Arial" w:hAnsi="Arial"/>
        </w:rPr>
        <w:t>3.4 Herramientas utilizadas</w:t>
      </w:r>
    </w:p>
    <w:tbl>
      <w:tblPr>
        <w:tblW w:w="9026" w:type="dxa"/>
        <w:jc w:val="left"/>
        <w:tblInd w:w="0" w:type="dxa"/>
        <w:tblLayout w:type="fixed"/>
        <w:tblCellMar>
          <w:top w:w="50" w:type="dxa"/>
          <w:left w:w="90" w:type="dxa"/>
          <w:bottom w:w="50" w:type="dxa"/>
          <w:right w:w="90" w:type="dxa"/>
        </w:tblCellMar>
      </w:tblPr>
      <w:tblGrid>
        <w:gridCol w:w="3074"/>
        <w:gridCol w:w="5951"/>
      </w:tblGrid>
      <w:tr>
        <w:trPr>
          <w:tblHeader w:val="true"/>
        </w:trPr>
        <w:tc>
          <w:tcPr>
            <w:tcW w:w="3074"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Herramienta</w:t>
            </w:r>
          </w:p>
        </w:tc>
        <w:tc>
          <w:tcPr>
            <w:tcW w:w="5951"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Para qué la usamos</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Jest y Supertest</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unitarias y de endpoints en Express; es lo estándar en Node.js</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React Testing Library</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de componentes como formularios de login y clientes</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Swagger + Postman/Newman</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Colección de endpoints críticos que pide la ERS, ejecutable en el pipeline</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Playwright</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Flujos end-to-end en Chromium, Firefox y WebKit (Safari), con emulación móvil</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BrowserStack</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en dispositivos reales (iPhone, iPad, Android)</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k6</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de carga y estrés con umbrales configurables</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Lighthouse</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Tiempo de carga en móvil y auditoría básica de accesibilidad</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axe DevTools y NVDA</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Revisión WCAG automática y navegación con lector de pantalla</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ZAP y Burp Suite</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Escaneo dinámico y pruebas manuales de tokens, IDOR y CSRF</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SonarQube / Semgrep y npm audit</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Análisis estático del código y vulnerabilidades en dependencias</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GitHub Actions</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Ejecución automática de las pruebas en cada push</w:t>
            </w:r>
          </w:p>
        </w:tc>
      </w:tr>
      <w:tr>
        <w:trPr>
          <w:cantSplit w:val="true"/>
        </w:trPr>
        <w:tc>
          <w:tcPr>
            <w:tcW w:w="307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Jira</w:t>
            </w:r>
          </w:p>
        </w:tc>
        <w:tc>
          <w:tcPr>
            <w:tcW w:w="595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Registro y seguimiento de defectos</w:t>
            </w:r>
          </w:p>
        </w:tc>
      </w:tr>
    </w:tbl>
    <w:p>
      <w:pPr>
        <w:pStyle w:val="Normal"/>
        <w:spacing w:before="0" w:after="120"/>
        <w:rPr/>
      </w:pPr>
      <w:r>
        <w:rPr/>
      </w:r>
    </w:p>
    <w:p>
      <w:pPr>
        <w:pStyle w:val="Heading2"/>
        <w:rPr/>
      </w:pPr>
      <w:bookmarkStart w:id="15" w:name="__RefHeading___Toc1958_2151982201"/>
      <w:bookmarkEnd w:id="15"/>
      <w:r>
        <w:rPr>
          <w:rFonts w:eastAsia="Arial" w:cs="Arial" w:ascii="Arial" w:hAnsi="Arial"/>
        </w:rPr>
        <w:t>3.5 Recursos y cronograma</w:t>
      </w:r>
    </w:p>
    <w:p>
      <w:pPr>
        <w:pStyle w:val="Heading3"/>
        <w:rPr/>
      </w:pPr>
      <w:r>
        <w:rPr>
          <w:rFonts w:eastAsia="Arial" w:cs="Arial" w:ascii="Arial" w:hAnsi="Arial"/>
        </w:rPr>
        <w:t>Recursos humanos</w:t>
      </w:r>
    </w:p>
    <w:p>
      <w:pPr>
        <w:pStyle w:val="Normal"/>
        <w:spacing w:lineRule="exact" w:line="360" w:before="0" w:after="120"/>
        <w:jc w:val="both"/>
        <w:rPr/>
      </w:pPr>
      <w:r>
        <w:rPr>
          <w:rFonts w:eastAsia="Arial" w:cs="Arial"/>
          <w:sz w:val="22"/>
          <w:szCs w:val="22"/>
        </w:rPr>
        <w:t>Un QA Lead que coordina y aprueba los criterios de salida; dos analistas QA que diseñan y ejecutan los casos; un ingeniero de automatización a cargo de los scripts; un analista de seguridad para el análisis y el pentest; un especialista UX para las pruebas con usuarios; los desarrolladores para corregir defectos, y el Product Owner de CreaLab para resolver dudas y aprobar. Para usabilidad se necesitan además 5 adultos mayores que participen de las sesiones.</w:t>
      </w:r>
    </w:p>
    <w:p>
      <w:pPr>
        <w:pStyle w:val="Heading3"/>
        <w:rPr/>
      </w:pPr>
      <w:r>
        <w:rPr>
          <w:rFonts w:eastAsia="Arial" w:cs="Arial" w:ascii="Arial" w:hAnsi="Arial"/>
        </w:rPr>
        <w:t>Recursos técnicos y entornos</w:t>
      </w:r>
    </w:p>
    <w:p>
      <w:pPr>
        <w:pStyle w:val="Normal"/>
        <w:spacing w:lineRule="exact" w:line="360" w:before="0" w:after="120"/>
        <w:jc w:val="both"/>
        <w:rPr/>
      </w:pPr>
      <w:r>
        <w:rPr>
          <w:rFonts w:eastAsia="Arial" w:cs="Arial"/>
          <w:sz w:val="22"/>
          <w:szCs w:val="22"/>
        </w:rPr>
        <w:t>Node.js 20 LTS, las versiones del stack indicadas en la ERS y PostgreSQL. Navegadores Chrome, Firefox, Safari y Edge; notebooks con Windows y macOS, celulares Android e iPhone y tablets.</w:t>
      </w:r>
    </w:p>
    <w:p>
      <w:pPr>
        <w:pStyle w:val="Normal"/>
        <w:spacing w:lineRule="exact" w:line="360" w:before="0" w:after="120"/>
        <w:jc w:val="both"/>
        <w:rPr/>
      </w:pPr>
      <w:r>
        <w:rPr>
          <w:rFonts w:eastAsia="Arial" w:cs="Arial"/>
          <w:sz w:val="22"/>
          <w:szCs w:val="22"/>
        </w:rPr>
        <w:t>Trabajamos con cuatro ambientes: desarrollo para pruebas unitarias, integración continua para la regresión automática, QA como réplica de producción para el resto de las pruebas, y preproducción para la aceptación y la carga final. En ningún ambiente se usan datos reales de clientes, solo datos ficticios.</w:t>
      </w:r>
    </w:p>
    <w:p>
      <w:pPr>
        <w:pStyle w:val="Heading3"/>
        <w:rPr/>
      </w:pPr>
      <w:r>
        <w:rPr>
          <w:rFonts w:eastAsia="Arial" w:cs="Arial" w:ascii="Arial" w:hAnsi="Arial"/>
        </w:rPr>
        <w:t>Cronograma</w:t>
      </w:r>
    </w:p>
    <w:tbl>
      <w:tblPr>
        <w:tblW w:w="9026" w:type="dxa"/>
        <w:jc w:val="left"/>
        <w:tblInd w:w="0" w:type="dxa"/>
        <w:tblLayout w:type="fixed"/>
        <w:tblCellMar>
          <w:top w:w="50" w:type="dxa"/>
          <w:left w:w="90" w:type="dxa"/>
          <w:bottom w:w="50" w:type="dxa"/>
          <w:right w:w="90" w:type="dxa"/>
        </w:tblCellMar>
      </w:tblPr>
      <w:tblGrid>
        <w:gridCol w:w="1500"/>
        <w:gridCol w:w="4791"/>
        <w:gridCol w:w="2735"/>
      </w:tblGrid>
      <w:tr>
        <w:trPr>
          <w:tblHeader w:val="true"/>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Semana</w:t>
            </w:r>
          </w:p>
        </w:tc>
        <w:tc>
          <w:tcPr>
            <w:tcW w:w="4791"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Actividades</w:t>
            </w:r>
          </w:p>
        </w:tc>
        <w:tc>
          <w:tcPr>
            <w:tcW w:w="2735"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Hito</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Análisis de la ERS, riesgos y aprobación del plan</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Plan aprobado</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Casos, datos de prueba, ambiente QA y pipeline</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Ambiente listo</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3</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funcionales, de integración y de API</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Casos P1 funcionales aprobados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4</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Rendimiento, compatibilidad y sesiones de usabilidad</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Informe de carga y SUS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5</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Pruebas de seguridad y pentest</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Sin hallazgos críticos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6</w:t>
            </w:r>
          </w:p>
        </w:tc>
        <w:tc>
          <w:tcPr>
            <w:tcW w:w="4791"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Reprueba, regresión, aceptación del cliente e informe</w:t>
            </w:r>
          </w:p>
        </w:tc>
        <w:tc>
          <w:tcPr>
            <w:tcW w:w="27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Aceptación formal</w:t>
            </w:r>
          </w:p>
        </w:tc>
      </w:tr>
    </w:tbl>
    <w:p>
      <w:pPr>
        <w:pStyle w:val="Normal"/>
        <w:spacing w:before="0" w:after="120"/>
        <w:rPr/>
      </w:pPr>
      <w:r>
        <w:rPr/>
      </w:r>
    </w:p>
    <w:p>
      <w:pPr>
        <w:pStyle w:val="Normal"/>
        <w:rPr/>
      </w:pPr>
      <w:r>
        <w:rPr/>
      </w:r>
      <w:r>
        <w:br w:type="page"/>
      </w:r>
    </w:p>
    <w:p>
      <w:pPr>
        <w:pStyle w:val="Heading1"/>
        <w:spacing w:before="0" w:after="180"/>
        <w:rPr/>
      </w:pPr>
      <w:bookmarkStart w:id="16" w:name="__RefHeading___Toc1960_2151982201"/>
      <w:bookmarkEnd w:id="16"/>
      <w:r>
        <w:rPr>
          <w:rFonts w:eastAsia="Arial" w:cs="Arial" w:ascii="Arial" w:hAnsi="Arial"/>
        </w:rPr>
        <w:t>4. Diseño de casos de prueba</w:t>
      </w:r>
    </w:p>
    <w:p>
      <w:pPr>
        <w:pStyle w:val="Normal"/>
        <w:spacing w:lineRule="exact" w:line="360" w:before="0" w:after="120"/>
        <w:jc w:val="both"/>
        <w:rPr/>
      </w:pPr>
      <w:r>
        <w:rPr>
          <w:rFonts w:eastAsia="Arial" w:cs="Arial"/>
          <w:sz w:val="22"/>
          <w:szCs w:val="22"/>
        </w:rPr>
        <w:t>Diseñamos nueve casos que cubren los distintos tipos de requerimientos de la ERS: tres funcionales, tres de seguridad y tres no funcionales. Se priorizaron los riesgos P1 de la sección 3.1 y los requerimientos con umbrales medibles. Los demás requerimientos quedan cubiertos por las suites y actividades indicadas en la matriz del capítulo 5.</w:t>
      </w:r>
    </w:p>
    <w:p>
      <w:pPr>
        <w:pStyle w:val="Heading3"/>
        <w:rPr/>
      </w:pPr>
      <w:r>
        <w:rPr>
          <w:rFonts w:eastAsia="Arial" w:cs="Arial" w:ascii="Arial" w:hAnsi="Arial"/>
        </w:rPr>
        <w:t>CP-01 – Inicio de sesión con credenciales válidas</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CP-01</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Inicio de sesión con credenciales válidas</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RF-1.1, NFR-SEG-1, NFR-SEG-2, NFR-SEG-9</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Verificar que un usuario registrado pueda ingresar con su nombre de usuario y contraseña, y que el sistema entregue un token de sesión válido por una conexión segura.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Usuario activo asociado a una empresa. Ambiente QA con certificado TLS.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Abrir la página de login con http:// y revisar que redirija a https://.</w:t>
            </w:r>
          </w:p>
          <w:p>
            <w:pPr>
              <w:pStyle w:val="Normal"/>
              <w:spacing w:lineRule="exact" w:line="276" w:before="20" w:after="20"/>
              <w:rPr/>
            </w:pPr>
            <w:r>
              <w:rPr>
                <w:rFonts w:eastAsia="Arial" w:cs="Arial"/>
                <w:sz w:val="18"/>
                <w:szCs w:val="18"/>
              </w:rPr>
              <w:t>2. Ingresar usuario y contraseña válidos y presionar "Ingresar".</w:t>
            </w:r>
          </w:p>
          <w:p>
            <w:pPr>
              <w:pStyle w:val="Normal"/>
              <w:spacing w:lineRule="exact" w:line="276" w:before="20" w:after="20"/>
              <w:rPr/>
            </w:pPr>
            <w:r>
              <w:rPr>
                <w:rFonts w:eastAsia="Arial" w:cs="Arial"/>
                <w:sz w:val="18"/>
                <w:szCs w:val="18"/>
              </w:rPr>
              <w:t>3. Revisar la respuesta de POST /api/auth/login.</w:t>
            </w:r>
          </w:p>
          <w:p>
            <w:pPr>
              <w:pStyle w:val="Normal"/>
              <w:spacing w:lineRule="exact" w:line="276" w:before="20" w:after="20"/>
              <w:rPr/>
            </w:pPr>
            <w:r>
              <w:rPr>
                <w:rFonts w:eastAsia="Arial" w:cs="Arial"/>
                <w:sz w:val="18"/>
                <w:szCs w:val="18"/>
              </w:rPr>
              <w:t>4. Revisar en la base de datos cómo está guardada la contraseña.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Respuesta HTTP 200 con un JWT y un refresh token. El usuario llega al dashboard de su empresa. La respuesta no incluye datos sensibles.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La conexión es HTTPS. El JWT tiene expiración de 15 minutos o menos. La respuesta tarda menos de 300 ms. La contraseña está guardada como hash bcrypt (prefijo $2b$).</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Usuario: admin.pyme01 / Contraseña: Atlas#Prueba2026</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 (sistema y API)</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CP-02 – Rol editor sin permisos de escritura</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CP-02</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Rol editor sin permisos de escritura</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RF-3.2, RB-4, NFR-SEG-4</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Comprobar que un usuario con rol editor solo pueda ver información, incluso si intenta crear, modificar o eliminar llamando directamente a la API.</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Usuario editor en la empresa A. Existen al menos un cliente y un contrato.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Iniciar sesión como editor.</w:t>
            </w:r>
          </w:p>
          <w:p>
            <w:pPr>
              <w:pStyle w:val="Normal"/>
              <w:spacing w:lineRule="exact" w:line="276" w:before="20" w:after="20"/>
              <w:rPr/>
            </w:pPr>
            <w:r>
              <w:rPr>
                <w:rFonts w:eastAsia="Arial" w:cs="Arial"/>
                <w:sz w:val="18"/>
                <w:szCs w:val="18"/>
              </w:rPr>
              <w:t>2. Revisar que la interfaz no muestre botones de crear, editar ni eliminar.</w:t>
            </w:r>
          </w:p>
          <w:p>
            <w:pPr>
              <w:pStyle w:val="Normal"/>
              <w:spacing w:lineRule="exact" w:line="276" w:before="20" w:after="20"/>
              <w:rPr/>
            </w:pPr>
            <w:r>
              <w:rPr>
                <w:rFonts w:eastAsia="Arial" w:cs="Arial"/>
                <w:sz w:val="18"/>
                <w:szCs w:val="18"/>
              </w:rPr>
              <w:t>3. Con el token del editor, enviar POST /api/contratos.</w:t>
            </w:r>
          </w:p>
          <w:p>
            <w:pPr>
              <w:pStyle w:val="Normal"/>
              <w:spacing w:lineRule="exact" w:line="276" w:before="20" w:after="20"/>
              <w:rPr/>
            </w:pPr>
            <w:r>
              <w:rPr>
                <w:rFonts w:eastAsia="Arial" w:cs="Arial"/>
                <w:sz w:val="18"/>
                <w:szCs w:val="18"/>
              </w:rPr>
              <w:t>4. Enviar PUT y DELETE sobre un cliente existente.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Las peticiones de los pasos 3 y 4 responden HTTP 403 y no cambian nada en la base de datos.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Ninguna operación de escritura funciona con el rol editor. El bloqueo ocurre en el backend y no depende solo de ocultar botones.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Usuario: editor.pyme01. JSON de contrato válido para el POST.</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 (control de acceso)</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CP-03 – Aislamiento de datos entre empresas</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CP-03</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Aislamiento de datos entre empresas</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RB-2, NFR-SEG-4, NFR-SEG-8</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Confirmar que un administrador de una empresa no pueda ver ni modificar datos de otra empresa cambiando el identificador en la URL o en la petición.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Empresas A y B con clientes cargados. El administrador solo pertenece a la empresa 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Iniciar sesión como administrador de A.</w:t>
            </w:r>
          </w:p>
          <w:p>
            <w:pPr>
              <w:pStyle w:val="Normal"/>
              <w:spacing w:lineRule="exact" w:line="276" w:before="20" w:after="20"/>
              <w:rPr/>
            </w:pPr>
            <w:r>
              <w:rPr>
                <w:rFonts w:eastAsia="Arial" w:cs="Arial"/>
                <w:sz w:val="18"/>
                <w:szCs w:val="18"/>
              </w:rPr>
              <w:t>2. Enviar GET /api/empresas/102/clients (empresa B).</w:t>
            </w:r>
          </w:p>
          <w:p>
            <w:pPr>
              <w:pStyle w:val="Normal"/>
              <w:spacing w:lineRule="exact" w:line="276" w:before="20" w:after="20"/>
              <w:rPr/>
            </w:pPr>
            <w:r>
              <w:rPr>
                <w:rFonts w:eastAsia="Arial" w:cs="Arial"/>
                <w:sz w:val="18"/>
                <w:szCs w:val="18"/>
              </w:rPr>
              <w:t>3. Enviar GET sobre un cliente de B.</w:t>
            </w:r>
          </w:p>
          <w:p>
            <w:pPr>
              <w:pStyle w:val="Normal"/>
              <w:spacing w:lineRule="exact" w:line="276" w:before="20" w:after="20"/>
              <w:rPr/>
            </w:pPr>
            <w:r>
              <w:rPr>
                <w:rFonts w:eastAsia="Arial" w:cs="Arial"/>
                <w:sz w:val="18"/>
                <w:szCs w:val="18"/>
              </w:rPr>
              <w:t>4. Enviar PUT sobre un contrato de B.</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Todas las peticiones responden 403 o 404 y no se muestra ningún dato de la empresa B.</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se expone ningún dato personal o bancario de B, tanto con IDs correlativos como aleatorios. La evidencia se guarda como respaldo de cumplimiento de la Ley 19.628.</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ID empresa A = 101, ID empresa B = 102, ID cliente de B = 5530</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 (control de acceso) y cumplimiento normativo</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CP-04 – Creación, validación y eliminación lógica de un cliente</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Creación, validación y eliminación lógica de un cliente</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RF-4.1, RF-4.2, RF-4.3, RB-5, NFR-USAB-3</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Validar que el administrador pueda crear, listar y eliminar clientes, que los campos se validen y que la eliminación sea lógica y con confirmación.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Sesión iniciada como administrador.</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Crear un cliente con datos válidos.</w:t>
            </w:r>
          </w:p>
          <w:p>
            <w:pPr>
              <w:pStyle w:val="Normal"/>
              <w:spacing w:lineRule="exact" w:line="276" w:before="20" w:after="20"/>
              <w:rPr/>
            </w:pPr>
            <w:r>
              <w:rPr>
                <w:rFonts w:eastAsia="Arial" w:cs="Arial"/>
                <w:sz w:val="18"/>
                <w:szCs w:val="18"/>
              </w:rPr>
              <w:t>2. Intentar crear otro con RUT inválido y teléfono con letras.</w:t>
            </w:r>
          </w:p>
          <w:p>
            <w:pPr>
              <w:pStyle w:val="Normal"/>
              <w:spacing w:lineRule="exact" w:line="276" w:before="20" w:after="20"/>
              <w:rPr/>
            </w:pPr>
            <w:r>
              <w:rPr>
                <w:rFonts w:eastAsia="Arial" w:cs="Arial"/>
                <w:sz w:val="18"/>
                <w:szCs w:val="18"/>
              </w:rPr>
              <w:t>3. Buscar el cliente creado usando el filtro por nombre.</w:t>
            </w:r>
          </w:p>
          <w:p>
            <w:pPr>
              <w:pStyle w:val="Normal"/>
              <w:spacing w:lineRule="exact" w:line="276" w:before="20" w:after="20"/>
              <w:rPr/>
            </w:pPr>
            <w:r>
              <w:rPr>
                <w:rFonts w:eastAsia="Arial" w:cs="Arial"/>
                <w:sz w:val="18"/>
                <w:szCs w:val="18"/>
              </w:rPr>
              <w:t>4. Eliminarlo y cancelar en la confirmación.</w:t>
            </w:r>
          </w:p>
          <w:p>
            <w:pPr>
              <w:pStyle w:val="Normal"/>
              <w:spacing w:lineRule="exact" w:line="276" w:before="20" w:after="20"/>
              <w:rPr/>
            </w:pPr>
            <w:r>
              <w:rPr>
                <w:rFonts w:eastAsia="Arial" w:cs="Arial"/>
                <w:sz w:val="18"/>
                <w:szCs w:val="18"/>
              </w:rPr>
              <w:t>5. Eliminarlo de nuevo y confirmar.</w:t>
            </w:r>
          </w:p>
          <w:p>
            <w:pPr>
              <w:pStyle w:val="Normal"/>
              <w:spacing w:lineRule="exact" w:line="276" w:before="20" w:after="20"/>
              <w:rPr/>
            </w:pPr>
            <w:r>
              <w:rPr>
                <w:rFonts w:eastAsia="Arial" w:cs="Arial"/>
                <w:sz w:val="18"/>
                <w:szCs w:val="18"/>
              </w:rPr>
              <w:t>6. Revisar el registro en la base de datos.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El cliente válido se guarda y aparece en el listado. Los datos inválidos muestran un mensaje claro en cada campo. Al cancelar no se elimina; al confirmar desaparece del listado pero sigue en la base de datos marcado como eliminado.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La API también rechaza los datos inválidos (HTTP 422). La paginación y el filtro funcionan. La eliminación no borra físicamente el registro.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Válido: Comercial Ñuñoa Ltda., RUT 76.123.456-0, +56 9 8765 4321. Inválido: RUT 12.345.678-X, teléfono 98ab76.</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 (sistema)</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CP-05 – Cálculo del estado de un contrato</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CP-05</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Cálculo del estado de un contrato</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RF-5.1, RF-5.4, RB-3</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Verificar que el estado del contrato (activo, por vencer o expirado) se calcule bien a partir de sus fechas, incluyendo los casos límite.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Cliente creado. Umbral de "por vencer" de 30 días (supuesto de la sección 2.4). Fecha del sistema fijada en 16/09/2026.</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Crear los contratos A, B, C y D con las fechas indicadas.</w:t>
            </w:r>
          </w:p>
          <w:p>
            <w:pPr>
              <w:pStyle w:val="Normal"/>
              <w:spacing w:lineRule="exact" w:line="276" w:before="20" w:after="20"/>
              <w:rPr/>
            </w:pPr>
            <w:r>
              <w:rPr>
                <w:rFonts w:eastAsia="Arial" w:cs="Arial"/>
                <w:sz w:val="18"/>
                <w:szCs w:val="18"/>
              </w:rPr>
              <w:t>2. Revisar el estado en el listado y en el detalle.</w:t>
            </w:r>
          </w:p>
          <w:p>
            <w:pPr>
              <w:pStyle w:val="Normal"/>
              <w:spacing w:lineRule="exact" w:line="276" w:before="20" w:after="20"/>
              <w:rPr/>
            </w:pPr>
            <w:r>
              <w:rPr>
                <w:rFonts w:eastAsia="Arial" w:cs="Arial"/>
                <w:sz w:val="18"/>
                <w:szCs w:val="18"/>
              </w:rPr>
              <w:t>3. Intentar asociar un contrato a un segundo cliente.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 queda activo, B por vencer y C expirado. D se rechaza por fechas incoherentes. El paso 3 no se permite.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Todas las combinaciones muestran el estado correcto, incluidos los límites. Un contrato pertenece a un solo cliente.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 01/01/2026 al 31/12/2026. B: 01/01/2026 al 16/10/2026. C: 01/01/2026 al 15/09/2026. D: inicio 01/06/2026 y término 01/05/2026.</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 (unitaria y sistema, valores límite)</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CP-06 – Protección contra inyección SQL, XSS y CSRF</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CP-06</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Protección contra inyección SQL, XSS y CSRF</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NFR-SEG-5, RF-4.3</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Comprobar que los formularios y endpoints rechacen o neutralicen entradas maliciosas comunes.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Autorización escrita para el pentest. Ambiente QA aislado con OWASP ZAP y Burp Suite configurados.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Ingresar una carga de inyección SQL en el login y en el filtro de clientes.</w:t>
            </w:r>
          </w:p>
          <w:p>
            <w:pPr>
              <w:pStyle w:val="Normal"/>
              <w:spacing w:lineRule="exact" w:line="276" w:before="20" w:after="20"/>
              <w:rPr/>
            </w:pPr>
            <w:r>
              <w:rPr>
                <w:rFonts w:eastAsia="Arial" w:cs="Arial"/>
                <w:sz w:val="18"/>
                <w:szCs w:val="18"/>
              </w:rPr>
              <w:t>2. Guardar un cliente con un script en la descripción y abrir su detalle.</w:t>
            </w:r>
          </w:p>
          <w:p>
            <w:pPr>
              <w:pStyle w:val="Normal"/>
              <w:spacing w:lineRule="exact" w:line="276" w:before="20" w:after="20"/>
              <w:rPr/>
            </w:pPr>
            <w:r>
              <w:rPr>
                <w:rFonts w:eastAsia="Arial" w:cs="Arial"/>
                <w:sz w:val="18"/>
                <w:szCs w:val="18"/>
              </w:rPr>
              <w:t>3. Enviar una petición de modificación desde otro origen sin token CSRF.</w:t>
            </w:r>
          </w:p>
          <w:p>
            <w:pPr>
              <w:pStyle w:val="Normal"/>
              <w:spacing w:lineRule="exact" w:line="276" w:before="20" w:after="20"/>
              <w:rPr/>
            </w:pPr>
            <w:r>
              <w:rPr>
                <w:rFonts w:eastAsia="Arial" w:cs="Arial"/>
                <w:sz w:val="18"/>
                <w:szCs w:val="18"/>
              </w:rPr>
              <w:t>4. Ejecutar un escaneo activo con OWASP ZAP.</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se obtiene acceso ni se alteran datos. El script se muestra como texto y no se ejecuta. La petición externa es rechazada. Los errores no muestran información técnica.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ZAP no reporta vulnerabilidades críticas ni altas. Las consultas son parametrizadas. Existen cabeceras CSP y CORS restrictivas.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 OR '1'='1' -- ; &lt;script&gt;alert('xss')&lt;/script&gt; ; &lt;img src=x onerror=alert(1)&gt;</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 (escaneo dinámico y pentest manual)</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CP-07 – Carga con 200 usuarios concurrentes</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CP-07</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Carga con 200 usuarios concurrentes</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NFR-PERF-1, NFR-PERF-2, NFR-PERF-3, NFR-DIS-1</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Medir tiempos de respuesta y tasa de error con la concurrencia que define la ERS.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Preproducción equivalente a producción, con 20.000 clientes y 50.000 contratos ficticios. Script de k6 revisado.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Subir de 0 a 200 usuarios virtuales en 5 minutos.</w:t>
            </w:r>
          </w:p>
          <w:p>
            <w:pPr>
              <w:pStyle w:val="Normal"/>
              <w:spacing w:lineRule="exact" w:line="276" w:before="20" w:after="20"/>
              <w:rPr/>
            </w:pPr>
            <w:r>
              <w:rPr>
                <w:rFonts w:eastAsia="Arial" w:cs="Arial"/>
                <w:sz w:val="18"/>
                <w:szCs w:val="18"/>
              </w:rPr>
              <w:t>2. Mantener 200 usuarios por 20 minutos haciendo login, listados, creación y edición de clientes.</w:t>
            </w:r>
          </w:p>
          <w:p>
            <w:pPr>
              <w:pStyle w:val="Normal"/>
              <w:spacing w:lineRule="exact" w:line="276" w:before="20" w:after="20"/>
              <w:rPr/>
            </w:pPr>
            <w:r>
              <w:rPr>
                <w:rFonts w:eastAsia="Arial" w:cs="Arial"/>
                <w:sz w:val="18"/>
                <w:szCs w:val="18"/>
              </w:rPr>
              <w:t>3. Medir la página principal con Lighthouse en perfil móvil.</w:t>
            </w:r>
          </w:p>
          <w:p>
            <w:pPr>
              <w:pStyle w:val="Normal"/>
              <w:spacing w:lineRule="exact" w:line="276" w:before="20" w:after="20"/>
              <w:rPr/>
            </w:pPr>
            <w:r>
              <w:rPr>
                <w:rFonts w:eastAsia="Arial" w:cs="Arial"/>
                <w:sz w:val="18"/>
                <w:szCs w:val="18"/>
              </w:rPr>
              <w:t>4. Registrar CPU, memoria y conexiones a la base de datos.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Las operaciones CRUD simples responden con p95 bajo 300 ms, la página principal carga en menos de 2 s y el servicio no se cae.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Tasa de error menor a 1 %. Los umbrales se cumplen en tres ejecuciones seguidas. Se adjuntan los reportes de k6 y Lighthouse.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Script carga_atlas.js con 60 % lecturas y 40 % escrituras.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funcional (rendimiento)</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CP-08 – Usabilidad y accesibilidad con adultos mayores</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CP-08</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 y accesibilidad con adultos mayores</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NFR-USAB-1, NFR-USAB-2, NFR-USAB-3, NFR-USAB-4</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Evaluar si personas mayores completan tareas habituales sin ayuda y si las pantallas principales cumplen WCAG 2.1 AA.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5 participantes de 60 años o más con consentimiento firmado. Datos ficticios. axe DevTools y NVDA instalados.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Pedir a cada participante buscar un cliente y abrir sus contratos.</w:t>
            </w:r>
          </w:p>
          <w:p>
            <w:pPr>
              <w:pStyle w:val="Normal"/>
              <w:spacing w:lineRule="exact" w:line="276" w:before="20" w:after="20"/>
              <w:rPr/>
            </w:pPr>
            <w:r>
              <w:rPr>
                <w:rFonts w:eastAsia="Arial" w:cs="Arial"/>
                <w:sz w:val="18"/>
                <w:szCs w:val="18"/>
              </w:rPr>
              <w:t>2. Pedir crear un cliente cometiendo un error y luego corregirlo.</w:t>
            </w:r>
          </w:p>
          <w:p>
            <w:pPr>
              <w:pStyle w:val="Normal"/>
              <w:spacing w:lineRule="exact" w:line="276" w:before="20" w:after="20"/>
              <w:rPr/>
            </w:pPr>
            <w:r>
              <w:rPr>
                <w:rFonts w:eastAsia="Arial" w:cs="Arial"/>
                <w:sz w:val="18"/>
                <w:szCs w:val="18"/>
              </w:rPr>
              <w:t>3. Anotar tiempo, errores y veces que pide ayuda.</w:t>
            </w:r>
          </w:p>
          <w:p>
            <w:pPr>
              <w:pStyle w:val="Normal"/>
              <w:spacing w:lineRule="exact" w:line="276" w:before="20" w:after="20"/>
              <w:rPr/>
            </w:pPr>
            <w:r>
              <w:rPr>
                <w:rFonts w:eastAsia="Arial" w:cs="Arial"/>
                <w:sz w:val="18"/>
                <w:szCs w:val="18"/>
              </w:rPr>
              <w:t>4. Aplicar el cuestionario SUS.</w:t>
            </w:r>
          </w:p>
          <w:p>
            <w:pPr>
              <w:pStyle w:val="Normal"/>
              <w:spacing w:lineRule="exact" w:line="276" w:before="20" w:after="20"/>
              <w:rPr/>
            </w:pPr>
            <w:r>
              <w:rPr>
                <w:rFonts w:eastAsia="Arial" w:cs="Arial"/>
                <w:sz w:val="18"/>
                <w:szCs w:val="18"/>
              </w:rPr>
              <w:t>5. Revisar las pantallas con axe y recorrerlas solo con teclado y NVDA.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Los participantes completan las tareas sin bloqueos, entienden los mensajes de error y siguen el flujo cliente → contratos.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Al menos 80 % de las tareas completadas sin ayuda. SUS de 70 o más. Contraste mínimo 4,5:1 y controles táctiles de 44 × 44 px o más. Sin errores críticos en axe.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Guion de 3 tareas y cuestionario SUS de 10 preguntas.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funcional (usabilidad y accesibilidad)</w:t>
            </w:r>
          </w:p>
        </w:tc>
      </w:tr>
    </w:tbl>
    <w:p>
      <w:pPr>
        <w:pStyle w:val="Normal"/>
        <w:spacing w:before="0" w:after="120"/>
        <w:rPr/>
      </w:pPr>
      <w:r>
        <w:rPr/>
      </w:r>
    </w:p>
    <w:p>
      <w:pPr>
        <w:pStyle w:val="Normal"/>
        <w:rPr/>
      </w:pPr>
      <w:r>
        <w:rPr/>
      </w:r>
      <w:r>
        <w:br w:type="page"/>
      </w:r>
    </w:p>
    <w:p>
      <w:pPr>
        <w:pStyle w:val="Heading3"/>
        <w:spacing w:before="0" w:after="100"/>
        <w:rPr/>
      </w:pPr>
      <w:r>
        <w:rPr>
          <w:rFonts w:eastAsia="Arial" w:cs="Arial" w:ascii="Arial" w:hAnsi="Arial"/>
        </w:rPr>
        <w:t>CP-09 – Compatibilidad entre navegadores y dispositivos</w:t>
      </w:r>
    </w:p>
    <w:tbl>
      <w:tblPr>
        <w:tblW w:w="9026" w:type="dxa"/>
        <w:jc w:val="left"/>
        <w:tblInd w:w="0" w:type="dxa"/>
        <w:tblLayout w:type="fixed"/>
        <w:tblCellMar>
          <w:top w:w="50" w:type="dxa"/>
          <w:left w:w="90" w:type="dxa"/>
          <w:bottom w:w="50" w:type="dxa"/>
          <w:right w:w="90" w:type="dxa"/>
        </w:tblCellMar>
      </w:tblPr>
      <w:tblGrid>
        <w:gridCol w:w="1500"/>
        <w:gridCol w:w="4300"/>
        <w:gridCol w:w="3226"/>
      </w:tblGrid>
      <w:tr>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ID</w:t>
            </w:r>
          </w:p>
        </w:tc>
        <w:tc>
          <w:tcPr>
            <w:tcW w:w="43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NOMBRE</w:t>
            </w:r>
          </w:p>
        </w:tc>
        <w:tc>
          <w:tcPr>
            <w:tcW w:w="3226"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r>
      <w:tr>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CP-09</w:t>
            </w:r>
          </w:p>
        </w:tc>
        <w:tc>
          <w:tcPr>
            <w:tcW w:w="43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Compatibilidad entre navegadores y dispositivos</w:t>
            </w:r>
          </w:p>
        </w:tc>
        <w:tc>
          <w:tcPr>
            <w:tcW w:w="3226"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NFR-COMPAT-1, NFR-COMPAT-2</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DESCRIPCIÓN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Verificar que los flujos principales funcionen igual en los navegadores que exige la ERS y que la interfaz se adapte a escritorio, tablet y celular.</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PRECONDICIONES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Ambiente QA desplegado con datos ficticios. Suite de Playwright configurada para Chromium, Firefox y WebKit, y cuenta de BrowserStack disponible.</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PASOS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 Ejecutar con Playwright el flujo de login, creación de cliente, creación de contrato y consulta de auditoría en Chromium, Firefox y WebKit.</w:t>
            </w:r>
          </w:p>
          <w:p>
            <w:pPr>
              <w:pStyle w:val="Normal"/>
              <w:spacing w:lineRule="exact" w:line="276" w:before="20" w:after="20"/>
              <w:rPr/>
            </w:pPr>
            <w:r>
              <w:rPr>
                <w:rFonts w:eastAsia="Arial" w:cs="Arial"/>
                <w:sz w:val="18"/>
                <w:szCs w:val="18"/>
              </w:rPr>
              <w:t>2. Repetir el flujo en BrowserStack sobre Chrome y Edge en Windows, Safari en macOS y Safari en iOS.</w:t>
            </w:r>
          </w:p>
          <w:p>
            <w:pPr>
              <w:pStyle w:val="Normal"/>
              <w:spacing w:lineRule="exact" w:line="276" w:before="20" w:after="20"/>
              <w:rPr/>
            </w:pPr>
            <w:r>
              <w:rPr>
                <w:rFonts w:eastAsia="Arial" w:cs="Arial"/>
                <w:sz w:val="18"/>
                <w:szCs w:val="18"/>
              </w:rPr>
              <w:t>3. Revisar en cada navegador que tablas, formularios y botones no se corten ni se superpongan.</w:t>
            </w:r>
          </w:p>
          <w:p>
            <w:pPr>
              <w:pStyle w:val="Normal"/>
              <w:spacing w:lineRule="exact" w:line="276" w:before="20" w:after="20"/>
              <w:rPr/>
            </w:pPr>
            <w:r>
              <w:rPr>
                <w:rFonts w:eastAsia="Arial" w:cs="Arial"/>
                <w:sz w:val="18"/>
                <w:szCs w:val="18"/>
              </w:rPr>
              <w:t>4. Repetir el recorrido en pantallas de 1920, 768 y 375 px de ancho.</w:t>
            </w:r>
          </w:p>
          <w:p>
            <w:pPr>
              <w:pStyle w:val="Normal"/>
              <w:spacing w:lineRule="exact" w:line="276" w:before="20" w:after="20"/>
              <w:rPr/>
            </w:pPr>
            <w:r>
              <w:rPr>
                <w:rFonts w:eastAsia="Arial" w:cs="Arial"/>
                <w:sz w:val="18"/>
                <w:szCs w:val="18"/>
              </w:rPr>
              <w:t>5. En celular, comprobar el tamaño de los controles y que no haga falta desplazarse en horizontal.</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RESULTADO ESPERADO</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Los flujos se completan en todos los navegadores y tamaños de pantalla, y la interfaz se reordena sin elementos cortados o inaccesibles.</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CRITERIO DE ACEPTACIÓN</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Sin defectos bloqueantes ni críticos en la matriz de navegadores. Las diferencias entre navegadores son solo visuales (bordes o sombras). En móvil los controles miden al menos 44 × 44 px y no se necesita desplazamiento horizontal.</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DATOS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Mismos datos de CP-04 y CP-05. Matriz: Chrome, Firefox, Safari y Edge en sus dos últimas versiones; iPhone, Galaxy, iPad y notebook 1080p.</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shd w:color="auto" w:fill="F2F2F2" w:val="clear"/>
          </w:tcPr>
          <w:p>
            <w:pPr>
              <w:pStyle w:val="Normal"/>
              <w:spacing w:lineRule="exact" w:line="276" w:before="20" w:after="20"/>
              <w:rPr/>
            </w:pPr>
            <w:r>
              <w:rPr>
                <w:rFonts w:eastAsia="Arial" w:cs="Arial"/>
                <w:b/>
                <w:bCs/>
                <w:sz w:val="18"/>
                <w:szCs w:val="18"/>
              </w:rPr>
              <w:t>TIPO DE PRUEBA</w:t>
            </w:r>
          </w:p>
        </w:tc>
      </w:tr>
      <w:tr>
        <w:trPr>
          <w:cantSplit w:val="true"/>
        </w:trPr>
        <w:tc>
          <w:tcPr>
            <w:tcW w:w="9026" w:type="dxa"/>
            <w:gridSpan w:val="3"/>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No funcional (compatibilidad)</w:t>
            </w:r>
          </w:p>
        </w:tc>
      </w:tr>
    </w:tbl>
    <w:p>
      <w:pPr>
        <w:pStyle w:val="Normal"/>
        <w:spacing w:before="0" w:after="120"/>
        <w:rPr/>
      </w:pPr>
      <w:r>
        <w:rPr/>
      </w:r>
    </w:p>
    <w:p>
      <w:pPr>
        <w:pStyle w:val="Normal"/>
        <w:rPr/>
      </w:pPr>
      <w:r>
        <w:rPr/>
      </w:r>
      <w:r>
        <w:br w:type="page"/>
      </w:r>
    </w:p>
    <w:p>
      <w:pPr>
        <w:pStyle w:val="Heading1"/>
        <w:spacing w:before="0" w:after="180"/>
        <w:rPr/>
      </w:pPr>
      <w:bookmarkStart w:id="17" w:name="__RefHeading___Toc1962_2151982201"/>
      <w:bookmarkEnd w:id="17"/>
      <w:r>
        <w:rPr>
          <w:rFonts w:eastAsia="Arial" w:cs="Arial" w:ascii="Arial" w:hAnsi="Arial"/>
        </w:rPr>
        <w:t>5. Matriz de trazabilidad y cobertura</w:t>
      </w:r>
    </w:p>
    <w:p>
      <w:pPr>
        <w:pStyle w:val="Heading2"/>
        <w:rPr/>
      </w:pPr>
      <w:bookmarkStart w:id="18" w:name="__RefHeading___Toc1964_2151982201"/>
      <w:bookmarkEnd w:id="18"/>
      <w:r>
        <w:rPr>
          <w:rFonts w:eastAsia="Arial" w:cs="Arial" w:ascii="Arial" w:hAnsi="Arial"/>
        </w:rPr>
        <w:t>5.1 Matriz de trazabilidad</w:t>
      </w:r>
    </w:p>
    <w:p>
      <w:pPr>
        <w:pStyle w:val="Normal"/>
        <w:spacing w:lineRule="exact" w:line="360" w:before="0" w:after="120"/>
        <w:jc w:val="both"/>
        <w:rPr/>
      </w:pPr>
      <w:r>
        <w:rPr>
          <w:rFonts w:eastAsia="Arial" w:cs="Arial"/>
          <w:sz w:val="22"/>
          <w:szCs w:val="22"/>
        </w:rPr>
        <w:t>La matriz relaciona cada requerimiento de la ERS con el caso de prueba que lo verifica, el tipo de prueba y la norma o estándar asociado. Cuando todavía no hay un caso detallado, se indica la suite o actividad que lo cubre; esos casos se van a redactar en la iteración 2. La misma matriz está en formato CSV en la carpeta anexos del repositorio.</w:t>
      </w:r>
    </w:p>
    <w:tbl>
      <w:tblPr>
        <w:tblW w:w="9026" w:type="dxa"/>
        <w:jc w:val="left"/>
        <w:tblInd w:w="0" w:type="dxa"/>
        <w:tblLayout w:type="fixed"/>
        <w:tblCellMar>
          <w:top w:w="50" w:type="dxa"/>
          <w:left w:w="90" w:type="dxa"/>
          <w:bottom w:w="50" w:type="dxa"/>
          <w:right w:w="90" w:type="dxa"/>
        </w:tblCellMar>
      </w:tblPr>
      <w:tblGrid>
        <w:gridCol w:w="1500"/>
        <w:gridCol w:w="2254"/>
        <w:gridCol w:w="2089"/>
        <w:gridCol w:w="1499"/>
        <w:gridCol w:w="1684"/>
      </w:tblGrid>
      <w:tr>
        <w:trPr>
          <w:tblHeader w:val="true"/>
        </w:trPr>
        <w:tc>
          <w:tcPr>
            <w:tcW w:w="150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Requerimiento</w:t>
            </w:r>
          </w:p>
        </w:tc>
        <w:tc>
          <w:tcPr>
            <w:tcW w:w="2254"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Descripción</w:t>
            </w:r>
          </w:p>
        </w:tc>
        <w:tc>
          <w:tcPr>
            <w:tcW w:w="2089"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Caso o actividad</w:t>
            </w:r>
          </w:p>
        </w:tc>
        <w:tc>
          <w:tcPr>
            <w:tcW w:w="1499"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Tipo de prueba</w:t>
            </w:r>
          </w:p>
        </w:tc>
        <w:tc>
          <w:tcPr>
            <w:tcW w:w="1684"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Norma o estándar</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RF-1.1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Autenticación con usuario y contraseña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A07</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RF-1.2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Cierre de sesión y revocación de tokens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API (sesión)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A07</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RF-2.1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Registro de usuario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end-to-end</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21.719</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RF-2.2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Creación de empresa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end-to-end</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RF-2.3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Primer usuario como administrador</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end-to-end</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RF-3.1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Invitar o crear usuarios con rol</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API</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RF-3.2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Editor solo visualiza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CP-02</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RF-3.3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Modificar o eliminar usuarios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API</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RF-4.1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Crear clientes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RF-4.2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Editar, eliminar y listar clientes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19.628</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RF-4.3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Validación de campos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 CP-06</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 y 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A03</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Crear contratos por cliente</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CP-05</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Adjuntar documentos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Integración</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A04</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Documentos en storage interno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Integración</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RF-5.4</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Estado del contrato por fechas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CP-05</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RF-5.5</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Enlace para compartir documento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 de seguridad planificada</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A01, Ley 19.628</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RF-6.1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Auditoría de acciones críticas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de integración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A09, Ley 21.719</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Correo principal único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Suite end-to-end</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Regla de negocio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Integridad de datos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Acceso solo a usuarios de la empresa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CP-03</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19.628, OWASP A01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Contrato asociado a un cliente</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CP-05</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Regla de negocio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Integridad de datos</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RB-4</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Editor solo lectura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CP-02</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RB-5</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Administrador con acceso completo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Mínimo privilegio</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TLS obligatorio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A02</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Contraseñas con bcrypt</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A02</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Cifrado de datos sensibles en reposo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Revisión de base de datos en QA</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19.628, 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NFR-SEG-4</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Control de acceso por rol en backend</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CP-02, CP-03</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NFR-SEG-5</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Protección contra CSRF, XSS y SQLi</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CP-06</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A03</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NFR-SEG-6</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Gestión segura de logs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Revisión de logs</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A09</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NFR-SEG-7</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Respaldo y recuperación</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 de restauración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Confiabilidad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NFR-SEG-8</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Cumplimiento de protección de datos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CP-03</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Cumplimiento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Ley 19.628, Ley 21.719</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NFR-SEG-9</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Sesión con JWT</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CP-01</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OWASP A07</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CRUD bajo 300 ms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CP-07</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Página principal bajo 2 s en móvil</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CP-07</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NFR-PERF-3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200 usuarios concurrentes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CP-07</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Rendimiento</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Tipografía, contraste y controles grandes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CP-08</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WCAG 2.1 AA</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Flujos claros de registro</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CP-08</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NFR-USAB-3</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Ayuda y errores amigables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CP-04, CP-08</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WCAG 2.1 AA</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NFR-USAB-4</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Flujo cliente → contratos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CP-08</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NFR-DIS-1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Disponibilidad de 99,5 %</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CP-07 y monitoreo</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Confiabilidad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NFR-DIS-2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Mantenimiento y migración segura</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Prueba de migración</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Mantenibilidad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27001</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NFR-COMPAT-1</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Navegadores modernos</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CP-09</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Compatibilidad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r>
        <w:trPr>
          <w:cantSplit w:val="true"/>
        </w:trPr>
        <w:tc>
          <w:tcPr>
            <w:tcW w:w="150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NFR-COMPAT-2</w:t>
            </w:r>
          </w:p>
        </w:tc>
        <w:tc>
          <w:tcPr>
            <w:tcW w:w="225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Responsivo en móvil y tablet</w:t>
            </w:r>
          </w:p>
        </w:tc>
        <w:tc>
          <w:tcPr>
            <w:tcW w:w="208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CP-09</w:t>
            </w:r>
          </w:p>
        </w:tc>
        <w:tc>
          <w:tcPr>
            <w:tcW w:w="1499"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Compatibilidad</w:t>
            </w:r>
          </w:p>
        </w:tc>
        <w:tc>
          <w:tcPr>
            <w:tcW w:w="1684"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ISO/IEC 25010</w:t>
            </w:r>
          </w:p>
        </w:tc>
      </w:tr>
    </w:tbl>
    <w:p>
      <w:pPr>
        <w:pStyle w:val="Normal"/>
        <w:spacing w:before="0" w:after="120"/>
        <w:rPr/>
      </w:pPr>
      <w:r>
        <w:rPr/>
      </w:r>
    </w:p>
    <w:p>
      <w:pPr>
        <w:pStyle w:val="Heading2"/>
        <w:rPr/>
      </w:pPr>
      <w:bookmarkStart w:id="19" w:name="__RefHeading___Toc1966_2151982201"/>
      <w:bookmarkEnd w:id="19"/>
      <w:r>
        <w:rPr>
          <w:rFonts w:eastAsia="Arial" w:cs="Arial" w:ascii="Arial" w:hAnsi="Arial"/>
        </w:rPr>
        <w:t>5.2 Cobertura</w:t>
      </w:r>
    </w:p>
    <w:p>
      <w:pPr>
        <w:pStyle w:val="Normal"/>
        <w:spacing w:lineRule="exact" w:line="360" w:before="0" w:after="120"/>
        <w:jc w:val="both"/>
        <w:rPr/>
      </w:pPr>
      <w:r>
        <w:rPr>
          <w:rFonts w:eastAsia="Arial" w:cs="Arial"/>
          <w:sz w:val="22"/>
          <w:szCs w:val="22"/>
        </w:rPr>
        <w:t>La ERS tiene 42 requerimientos entre funcionales, reglas de negocio y no funcionales. Todos quedan trazados a una prueba. De ellos, 27 (64 %) tienen un caso detallado en este informe y los 15 restantes están cubiertos por una suite o actividad planificada.</w:t>
      </w:r>
    </w:p>
    <w:tbl>
      <w:tblPr>
        <w:tblW w:w="9026" w:type="dxa"/>
        <w:jc w:val="left"/>
        <w:tblInd w:w="0" w:type="dxa"/>
        <w:tblLayout w:type="fixed"/>
        <w:tblCellMar>
          <w:top w:w="50" w:type="dxa"/>
          <w:left w:w="90" w:type="dxa"/>
          <w:bottom w:w="50" w:type="dxa"/>
          <w:right w:w="90" w:type="dxa"/>
        </w:tblCellMar>
      </w:tblPr>
      <w:tblGrid>
        <w:gridCol w:w="2835"/>
        <w:gridCol w:w="1678"/>
        <w:gridCol w:w="1890"/>
        <w:gridCol w:w="2622"/>
      </w:tblGrid>
      <w:tr>
        <w:trPr>
          <w:tblHeader w:val="true"/>
        </w:trPr>
        <w:tc>
          <w:tcPr>
            <w:tcW w:w="2835"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Grupo</w:t>
            </w:r>
          </w:p>
        </w:tc>
        <w:tc>
          <w:tcPr>
            <w:tcW w:w="1678"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Total</w:t>
            </w:r>
          </w:p>
        </w:tc>
        <w:tc>
          <w:tcPr>
            <w:tcW w:w="1890"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Con caso detallado</w:t>
            </w:r>
          </w:p>
        </w:tc>
        <w:tc>
          <w:tcPr>
            <w:tcW w:w="2622" w:type="dxa"/>
            <w:tcBorders>
              <w:top w:val="single" w:sz="4" w:space="0" w:color="8EA3B8"/>
              <w:left w:val="single" w:sz="4" w:space="0" w:color="8EA3B8"/>
              <w:bottom w:val="single" w:sz="4" w:space="0" w:color="8EA3B8"/>
              <w:right w:val="single" w:sz="4" w:space="0" w:color="8EA3B8"/>
            </w:tcBorders>
            <w:shd w:color="auto" w:fill="D9D9D9" w:val="clear"/>
          </w:tcPr>
          <w:p>
            <w:pPr>
              <w:pStyle w:val="Normal"/>
              <w:spacing w:lineRule="exact" w:line="276" w:before="20" w:after="20"/>
              <w:rPr/>
            </w:pPr>
            <w:r>
              <w:rPr>
                <w:rFonts w:eastAsia="Arial" w:cs="Arial"/>
                <w:b/>
                <w:bCs/>
                <w:sz w:val="18"/>
                <w:szCs w:val="18"/>
              </w:rPr>
              <w:t>Con actividad planificada</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Funcionales (RF)</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17</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7</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10</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Reglas de negocio (RB)</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5</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4</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Seguridad (NFR-SEG)</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9</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6</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3</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Rendimiento (NFR-PERF)</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3</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3</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0</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Usabilidad (NFR-USAB)</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4</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4</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0</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Disponibilidad (NFR-DIS)</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Compatibilidad (NFR-COMPAT)</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0</w:t>
            </w:r>
          </w:p>
        </w:tc>
      </w:tr>
      <w:tr>
        <w:trPr>
          <w:cantSplit w:val="true"/>
        </w:trPr>
        <w:tc>
          <w:tcPr>
            <w:tcW w:w="2835"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Total</w:t>
            </w:r>
          </w:p>
        </w:tc>
        <w:tc>
          <w:tcPr>
            <w:tcW w:w="1678"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42</w:t>
            </w:r>
          </w:p>
        </w:tc>
        <w:tc>
          <w:tcPr>
            <w:tcW w:w="1890"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27</w:t>
            </w:r>
          </w:p>
        </w:tc>
        <w:tc>
          <w:tcPr>
            <w:tcW w:w="2622" w:type="dxa"/>
            <w:tcBorders>
              <w:top w:val="single" w:sz="4" w:space="0" w:color="8EA3B8"/>
              <w:left w:val="single" w:sz="4" w:space="0" w:color="8EA3B8"/>
              <w:bottom w:val="single" w:sz="4" w:space="0" w:color="8EA3B8"/>
              <w:right w:val="single" w:sz="4" w:space="0" w:color="8EA3B8"/>
            </w:tcBorders>
          </w:tcPr>
          <w:p>
            <w:pPr>
              <w:pStyle w:val="Normal"/>
              <w:spacing w:lineRule="exact" w:line="276" w:before="20" w:after="20"/>
              <w:rPr/>
            </w:pPr>
            <w:r>
              <w:rPr>
                <w:rFonts w:eastAsia="Arial" w:cs="Arial"/>
                <w:sz w:val="18"/>
                <w:szCs w:val="18"/>
              </w:rPr>
              <w:t>15</w:t>
            </w:r>
          </w:p>
        </w:tc>
      </w:tr>
    </w:tbl>
    <w:p>
      <w:pPr>
        <w:pStyle w:val="Normal"/>
        <w:spacing w:before="0" w:after="120"/>
        <w:rPr/>
      </w:pPr>
      <w:r>
        <w:rPr/>
      </w:r>
    </w:p>
    <w:p>
      <w:pPr>
        <w:pStyle w:val="Normal"/>
        <w:spacing w:lineRule="exact" w:line="360" w:before="0" w:after="120"/>
        <w:jc w:val="both"/>
        <w:rPr/>
      </w:pPr>
      <w:r>
        <w:rPr>
          <w:rFonts w:eastAsia="Arial" w:cs="Arial"/>
          <w:sz w:val="22"/>
          <w:szCs w:val="22"/>
        </w:rPr>
        <w:t>El porcentaje de casos detallados es menor en los requerimientos funcionales porque priorizamos lo que tiene más riesgo. Los riesgos P1 de la sección 3.1 (acceso entre empresas, permisos del editor e inyección) sí tienen caso propio. En cambio, flujos como el registro o la gestión de usuarios se cubren con la suite end-to-end, que no requiere un caso manual por separado.</w:t>
      </w:r>
    </w:p>
    <w:p>
      <w:pPr>
        <w:pStyle w:val="Heading2"/>
        <w:rPr/>
      </w:pPr>
      <w:bookmarkStart w:id="20" w:name="__RefHeading___Toc1968_2151982201"/>
      <w:bookmarkEnd w:id="20"/>
      <w:r>
        <w:rPr>
          <w:rFonts w:eastAsia="Arial" w:cs="Arial" w:ascii="Arial" w:hAnsi="Arial"/>
        </w:rPr>
        <w:t>5.3 Coherencia y brechas</w:t>
      </w:r>
    </w:p>
    <w:p>
      <w:pPr>
        <w:pStyle w:val="Normal"/>
        <w:spacing w:lineRule="exact" w:line="360" w:before="0" w:after="120"/>
        <w:jc w:val="both"/>
        <w:rPr/>
      </w:pPr>
      <w:r>
        <w:rPr>
          <w:rFonts w:eastAsia="Arial" w:cs="Arial"/>
          <w:sz w:val="22"/>
          <w:szCs w:val="22"/>
        </w:rPr>
        <w:t>Al revisar el plan completo vemos que es coherente con los objetivos de la sección 1.3: los permisos del editor se prueban en CP-02, el aislamiento entre empresas en CP-03, la protección de datos en CP-01 y CP-06, el rendimiento en CP-07, la experiencia de adultos mayores en CP-08 y el funcionamiento en distintos navegadores en CP-09. De OWASP Top 10 quedan cubiertas con casos A01, A02, A03 y A07. A06 (componentes vulnerables) se controla con npm audit en el pipeline y A09 (registro y monitoreo) con la revisión de logs y auditoría planificada.</w:t>
      </w:r>
    </w:p>
    <w:p>
      <w:pPr>
        <w:pStyle w:val="Normal"/>
        <w:spacing w:lineRule="exact" w:line="360" w:before="0" w:after="120"/>
        <w:jc w:val="both"/>
        <w:rPr/>
      </w:pPr>
      <w:r>
        <w:rPr>
          <w:rFonts w:eastAsia="Arial" w:cs="Arial"/>
          <w:sz w:val="22"/>
          <w:szCs w:val="22"/>
        </w:rPr>
        <w:t>Las brechas que quedan para la siguiente iteración son:</w:t>
      </w:r>
    </w:p>
    <w:p>
      <w:pPr>
        <w:pStyle w:val="ListParagraph"/>
        <w:numPr>
          <w:ilvl w:val="0"/>
          <w:numId w:val="1"/>
        </w:numPr>
        <w:spacing w:lineRule="exact" w:line="360" w:before="0" w:after="60"/>
        <w:jc w:val="both"/>
        <w:rPr/>
      </w:pPr>
      <w:r>
        <w:rPr>
          <w:rFonts w:eastAsia="Arial" w:cs="Arial"/>
          <w:sz w:val="22"/>
          <w:szCs w:val="22"/>
        </w:rPr>
        <w:t>redactar los casos de sesión (RF-1.2), enlaces compartidos (RF-5.5), cifrado en reposo (NFR-SEG-3) y respaldo (NFR-SEG-7);</w:t>
      </w:r>
    </w:p>
    <w:p>
      <w:pPr>
        <w:pStyle w:val="ListParagraph"/>
        <w:numPr>
          <w:ilvl w:val="0"/>
          <w:numId w:val="1"/>
        </w:numPr>
        <w:spacing w:lineRule="exact" w:line="360" w:before="0" w:after="60"/>
        <w:jc w:val="both"/>
        <w:rPr/>
      </w:pPr>
      <w:r>
        <w:rPr>
          <w:rFonts w:eastAsia="Arial" w:cs="Arial"/>
          <w:sz w:val="22"/>
          <w:szCs w:val="22"/>
        </w:rPr>
        <w:t>validar con CreaLab los supuestos de la sección 2.4 (tamaño de archivo, umbral de 30 días y SUS ≥ 70);</w:t>
      </w:r>
    </w:p>
    <w:p>
      <w:pPr>
        <w:pStyle w:val="ListParagraph"/>
        <w:numPr>
          <w:ilvl w:val="0"/>
          <w:numId w:val="1"/>
        </w:numPr>
        <w:spacing w:lineRule="exact" w:line="360" w:before="0" w:after="60"/>
        <w:jc w:val="both"/>
        <w:rPr/>
      </w:pPr>
      <w:r>
        <w:rPr>
          <w:rFonts w:eastAsia="Arial" w:cs="Arial"/>
          <w:sz w:val="22"/>
          <w:szCs w:val="22"/>
        </w:rPr>
        <w:t>proponer requerimientos de consentimiento, derechos de los titulares y aviso de brechas, que la Ley 21.719 exige y la ERS no incluye.</w:t>
      </w:r>
    </w:p>
    <w:p>
      <w:pPr>
        <w:pStyle w:val="Normal"/>
        <w:rPr/>
      </w:pPr>
      <w:r>
        <w:rPr/>
      </w:r>
      <w:r>
        <w:br w:type="page"/>
      </w:r>
    </w:p>
    <w:p>
      <w:pPr>
        <w:pStyle w:val="Heading1"/>
        <w:spacing w:before="0" w:after="180"/>
        <w:rPr/>
      </w:pPr>
      <w:bookmarkStart w:id="21" w:name="__RefHeading___Toc1970_2151982201"/>
      <w:bookmarkEnd w:id="21"/>
      <w:r>
        <w:rPr>
          <w:rFonts w:eastAsia="Arial" w:cs="Arial" w:ascii="Arial" w:hAnsi="Arial"/>
        </w:rPr>
        <w:t>6. Conclusión</w:t>
      </w:r>
    </w:p>
    <w:p>
      <w:pPr>
        <w:pStyle w:val="Normal"/>
        <w:spacing w:lineRule="exact" w:line="360" w:before="0" w:after="120"/>
        <w:jc w:val="both"/>
        <w:rPr/>
      </w:pPr>
      <w:r>
        <w:rPr>
          <w:rFonts w:eastAsia="Arial" w:cs="Arial"/>
          <w:sz w:val="22"/>
          <w:szCs w:val="22"/>
        </w:rPr>
        <w:t>Atlas maneja datos personales y bancarios de clientes de distintas empresas en una misma plataforma. Por eso el plan pone el mayor esfuerzo en el control de acceso y la protección de datos, sin dejar de lado el rendimiento ni la usabilidad para adultos mayores, que la ERS marca como prioridades.</w:t>
      </w:r>
    </w:p>
    <w:p>
      <w:pPr>
        <w:pStyle w:val="Normal"/>
        <w:spacing w:lineRule="exact" w:line="360" w:before="0" w:after="120"/>
        <w:jc w:val="both"/>
        <w:rPr/>
      </w:pPr>
      <w:r>
        <w:rPr>
          <w:rFonts w:eastAsia="Arial" w:cs="Arial"/>
          <w:sz w:val="22"/>
          <w:szCs w:val="22"/>
        </w:rPr>
        <w:t>El enfoque mixto permite automatizar lo que se repite en cada versión y reservar el trabajo manual para lo que necesita criterio humano. La matriz de trazabilidad deja cada requerimiento conectado a una prueba y a una norma, lo que sirve tanto para encontrar defectos como para demostrar cumplimiento frente a la Ley 19.628 y la Ley 21.719.</w:t>
      </w:r>
    </w:p>
    <w:p>
      <w:pPr>
        <w:pStyle w:val="Normal"/>
        <w:spacing w:lineRule="exact" w:line="360" w:before="0" w:after="120"/>
        <w:jc w:val="both"/>
        <w:rPr/>
      </w:pPr>
      <w:r>
        <w:rPr>
          <w:rFonts w:eastAsia="Arial" w:cs="Arial"/>
          <w:sz w:val="22"/>
          <w:szCs w:val="22"/>
        </w:rPr>
        <w:t>Durante el análisis también encontramos vacíos en la propia ERS: umbrales sin definir, una contradicción en los permisos del editor y la ausencia de requerimientos de consentimiento y aviso de brechas. Los dejamos documentados para trabajarlos en la siguiente iteración del caso semestral.</w:t>
      </w:r>
    </w:p>
    <w:p>
      <w:pPr>
        <w:pStyle w:val="Normal"/>
        <w:rPr/>
      </w:pPr>
      <w:r>
        <w:rPr/>
      </w:r>
      <w:r>
        <w:br w:type="page"/>
      </w:r>
    </w:p>
    <w:p>
      <w:pPr>
        <w:pStyle w:val="Heading1"/>
        <w:spacing w:before="0" w:after="180"/>
        <w:rPr/>
      </w:pPr>
      <w:bookmarkStart w:id="22" w:name="__RefHeading___Toc1972_2151982201"/>
      <w:bookmarkEnd w:id="22"/>
      <w:r>
        <w:rPr>
          <w:rFonts w:eastAsia="Arial" w:cs="Arial" w:ascii="Arial" w:hAnsi="Arial"/>
        </w:rPr>
        <w:t>Referencias</w:t>
      </w:r>
    </w:p>
    <w:p>
      <w:pPr>
        <w:pStyle w:val="ListParagraph"/>
        <w:numPr>
          <w:ilvl w:val="0"/>
          <w:numId w:val="1"/>
        </w:numPr>
        <w:spacing w:lineRule="exact" w:line="360" w:before="0" w:after="60"/>
        <w:jc w:val="both"/>
        <w:rPr/>
      </w:pPr>
      <w:r>
        <w:rPr>
          <w:rFonts w:eastAsia="Arial" w:cs="Arial"/>
          <w:sz w:val="22"/>
          <w:szCs w:val="22"/>
        </w:rPr>
        <w:t xml:space="preserve">Biblioteca del Congreso Nacional de Chile. (1970). </w:t>
      </w:r>
      <w:r>
        <w:rPr>
          <w:rFonts w:eastAsia="Arial" w:cs="Arial"/>
          <w:i/>
          <w:iCs/>
          <w:sz w:val="22"/>
          <w:szCs w:val="22"/>
        </w:rPr>
        <w:t>Ley 17.336 sobre propiedad intelectual</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Biblioteca del Congreso Nacional de Chile. (1999). </w:t>
      </w:r>
      <w:r>
        <w:rPr>
          <w:rFonts w:eastAsia="Arial" w:cs="Arial"/>
          <w:i/>
          <w:iCs/>
          <w:sz w:val="22"/>
          <w:szCs w:val="22"/>
        </w:rPr>
        <w:t>Ley 19.628 sobre protección de la vida privada</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Biblioteca del Congreso Nacional de Chile. (2022). </w:t>
      </w:r>
      <w:r>
        <w:rPr>
          <w:rFonts w:eastAsia="Arial" w:cs="Arial"/>
          <w:i/>
          <w:iCs/>
          <w:sz w:val="22"/>
          <w:szCs w:val="22"/>
        </w:rPr>
        <w:t>Ley 21.459 que establece normas sobre delitos informáticos</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Biblioteca del Congreso Nacional de Chile. (2024). </w:t>
      </w:r>
      <w:r>
        <w:rPr>
          <w:rFonts w:eastAsia="Arial" w:cs="Arial"/>
          <w:i/>
          <w:iCs/>
          <w:sz w:val="22"/>
          <w:szCs w:val="22"/>
        </w:rPr>
        <w:t>Ley 21.663 marco de ciberseguridad</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Biblioteca del Congreso Nacional de Chile. (2024). </w:t>
      </w:r>
      <w:r>
        <w:rPr>
          <w:rFonts w:eastAsia="Arial" w:cs="Arial"/>
          <w:i/>
          <w:iCs/>
          <w:sz w:val="22"/>
          <w:szCs w:val="22"/>
        </w:rPr>
        <w:t>Ley 21.719 que regula la protección y el tratamiento de los datos personales</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CreaLab SpA. (2026). </w:t>
      </w:r>
      <w:r>
        <w:rPr>
          <w:rFonts w:eastAsia="Arial" w:cs="Arial"/>
          <w:i/>
          <w:iCs/>
          <w:sz w:val="22"/>
          <w:szCs w:val="22"/>
        </w:rPr>
        <w:t>Especificación de requerimientos de software: Sistema de Gestión Atlas</w:t>
      </w:r>
      <w:r>
        <w:rPr>
          <w:rFonts w:eastAsia="Arial" w:cs="Arial"/>
          <w:sz w:val="22"/>
          <w:szCs w:val="22"/>
        </w:rPr>
        <w:t xml:space="preserve"> (v1.1).</w:t>
      </w:r>
    </w:p>
    <w:p>
      <w:pPr>
        <w:pStyle w:val="ListParagraph"/>
        <w:numPr>
          <w:ilvl w:val="0"/>
          <w:numId w:val="1"/>
        </w:numPr>
        <w:spacing w:lineRule="exact" w:line="360" w:before="0" w:after="60"/>
        <w:jc w:val="both"/>
        <w:rPr/>
      </w:pPr>
      <w:r>
        <w:rPr>
          <w:rFonts w:eastAsia="Arial" w:cs="Arial"/>
          <w:sz w:val="22"/>
          <w:szCs w:val="22"/>
        </w:rPr>
        <w:t xml:space="preserve">ISO/IEC. (2023). </w:t>
      </w:r>
      <w:r>
        <w:rPr>
          <w:rFonts w:eastAsia="Arial" w:cs="Arial"/>
          <w:i/>
          <w:iCs/>
          <w:sz w:val="22"/>
          <w:szCs w:val="22"/>
        </w:rPr>
        <w:t>ISO/IEC 25010: Systems and software quality requirements and evaluation (SQuaRE) – Product quality model</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ISO/IEC. (2022). </w:t>
      </w:r>
      <w:r>
        <w:rPr>
          <w:rFonts w:eastAsia="Arial" w:cs="Arial"/>
          <w:i/>
          <w:iCs/>
          <w:sz w:val="22"/>
          <w:szCs w:val="22"/>
        </w:rPr>
        <w:t>ISO/IEC 27001: Information security management systems – Requirements</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ISO/IEC/IEEE. (2022). </w:t>
      </w:r>
      <w:r>
        <w:rPr>
          <w:rFonts w:eastAsia="Arial" w:cs="Arial"/>
          <w:i/>
          <w:iCs/>
          <w:sz w:val="22"/>
          <w:szCs w:val="22"/>
        </w:rPr>
        <w:t>ISO/IEC/IEEE 29119: Software and systems engineering – Software testing</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OWASP Foundation. (2021). </w:t>
      </w:r>
      <w:r>
        <w:rPr>
          <w:rFonts w:eastAsia="Arial" w:cs="Arial"/>
          <w:i/>
          <w:iCs/>
          <w:sz w:val="22"/>
          <w:szCs w:val="22"/>
        </w:rPr>
        <w:t>OWASP Top 10</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OWASP Foundation. (2021). </w:t>
      </w:r>
      <w:r>
        <w:rPr>
          <w:rFonts w:eastAsia="Arial" w:cs="Arial"/>
          <w:i/>
          <w:iCs/>
          <w:sz w:val="22"/>
          <w:szCs w:val="22"/>
        </w:rPr>
        <w:t>Application Security Verification Standard 4.0.3</w:t>
      </w:r>
      <w:r>
        <w:rPr>
          <w:rFonts w:eastAsia="Arial" w:cs="Arial"/>
          <w:sz w:val="22"/>
          <w:szCs w:val="22"/>
        </w:rPr>
        <w:t>.</w:t>
      </w:r>
    </w:p>
    <w:p>
      <w:pPr>
        <w:pStyle w:val="ListParagraph"/>
        <w:numPr>
          <w:ilvl w:val="0"/>
          <w:numId w:val="1"/>
        </w:numPr>
        <w:spacing w:lineRule="exact" w:line="360" w:before="0" w:after="60"/>
        <w:jc w:val="both"/>
        <w:rPr/>
      </w:pPr>
      <w:r>
        <w:rPr>
          <w:rFonts w:eastAsia="Arial" w:cs="Arial"/>
          <w:sz w:val="22"/>
          <w:szCs w:val="22"/>
        </w:rPr>
        <w:t xml:space="preserve">W3C. (2018). </w:t>
      </w:r>
      <w:r>
        <w:rPr>
          <w:rFonts w:eastAsia="Arial" w:cs="Arial"/>
          <w:i/>
          <w:iCs/>
          <w:sz w:val="22"/>
          <w:szCs w:val="22"/>
        </w:rPr>
        <w:t>Web Content Accessibility Guidelines (WCAG) 2.1</w:t>
      </w:r>
      <w:r>
        <w:rPr>
          <w:rFonts w:eastAsia="Arial" w:cs="Arial"/>
          <w:sz w:val="22"/>
          <w:szCs w:val="22"/>
        </w:rPr>
        <w: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666666"/>
        <w:sz w:val="16"/>
        <w:szCs w:val="16"/>
      </w:rPr>
      <w:t>INFORME DE SEGURIDAD Y CALIDAD DE SOFTWARE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lineRule="exact" w:line="360" w:before="240" w:after="180"/>
      <w:outlineLvl w:val="0"/>
    </w:pPr>
    <w:rPr>
      <w:rFonts w:ascii="Arial" w:hAnsi="Arial" w:eastAsia="Arial" w:cs="Arial"/>
      <w:b/>
      <w:bCs/>
      <w:color w:val="000000"/>
      <w:sz w:val="24"/>
      <w:szCs w:val="24"/>
    </w:rPr>
  </w:style>
  <w:style w:type="paragraph" w:styleId="Heading2">
    <w:name w:val="Heading 2"/>
    <w:basedOn w:val="Heading"/>
    <w:qFormat/>
    <w:pPr>
      <w:keepNext w:val="true"/>
      <w:spacing w:lineRule="exact" w:line="360" w:before="240" w:after="120"/>
      <w:outlineLvl w:val="1"/>
    </w:pPr>
    <w:rPr>
      <w:rFonts w:ascii="Arial" w:hAnsi="Arial" w:eastAsia="Arial" w:cs="Arial"/>
      <w:b/>
      <w:bCs/>
      <w:color w:val="000000"/>
      <w:sz w:val="24"/>
      <w:szCs w:val="24"/>
    </w:rPr>
  </w:style>
  <w:style w:type="paragraph" w:styleId="Heading3">
    <w:name w:val="Heading 3"/>
    <w:basedOn w:val="Heading"/>
    <w:qFormat/>
    <w:pPr>
      <w:keepNext w:val="true"/>
      <w:spacing w:lineRule="exact" w:line="360" w:before="200" w:after="10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2026-09-20T20:26:50Z</dcterms:created>
  <dc:creator>Un-named</dc:creator>
  <dc:description/>
  <dc:language>en-US</dc:language>
  <cp:lastModifiedBy/>
  <dcterms:modified xsi:type="dcterms:W3CDTF">2026-09-20T17:26:57Z</dcterms:modified>
  <cp:revision>2</cp:revision>
  <dc:subject/>
  <dc:title/>
</cp:coreProperties>
</file>