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60" w:before="0" w:after="60"/>
        <w:jc w:val="center"/>
        <w:rPr/>
      </w:pPr>
      <w:r>
        <w:rPr>
          <w:rFonts w:eastAsia="Arial" w:cs="Arial"/>
          <w:b/>
          <w:bCs/>
          <w:sz w:val="30"/>
          <w:szCs w:val="30"/>
        </w:rPr>
        <w:t>A forma da curva de juro real diz algo?</w:t>
      </w:r>
    </w:p>
    <w:p>
      <w:pPr>
        <w:pStyle w:val="Normal"/>
        <w:spacing w:lineRule="exact" w:line="360" w:before="0" w:after="120"/>
        <w:jc w:val="center"/>
        <w:rPr/>
      </w:pPr>
      <w:r>
        <w:rPr>
          <w:rFonts w:eastAsia="Arial" w:cs="Arial"/>
          <w:i/>
          <w:iCs/>
          <w:sz w:val="24"/>
          <w:szCs w:val="24"/>
        </w:rPr>
        <w:t>O juro real e os limites da previsão do prêmio de 10 anos do Tesouro IPCA+ (2010–2025)</w:t>
      </w:r>
    </w:p>
    <w:p>
      <w:pPr>
        <w:pStyle w:val="Normal"/>
        <w:spacing w:lineRule="exact" w:line="360" w:before="0" w:after="200"/>
        <w:jc w:val="center"/>
        <w:rPr>
          <w:sz w:val="22"/>
          <w:szCs w:val="22"/>
        </w:rPr>
      </w:pPr>
      <w:r>
        <w:rPr>
          <w:rFonts w:eastAsia="Arial" w:cs="Arial"/>
          <w:sz w:val="22"/>
          <w:szCs w:val="22"/>
        </w:rPr>
        <w:t>Augusto Teixeira da Silva, Eduardo Vinicius Faleiro, Francisco de Paula Lemos e Lucas dos Santos Santin</w:t>
      </w:r>
    </w:p>
    <w:p>
      <w:pPr>
        <w:pStyle w:val="Heading1"/>
        <w:spacing w:lineRule="exact" w:line="360" w:before="240" w:after="120"/>
        <w:ind w:hanging="0"/>
        <w:rPr/>
      </w:pPr>
      <w:r>
        <w:rPr>
          <w:rFonts w:eastAsia="Arial" w:cs="Arial" w:ascii="Arial" w:hAnsi="Arial"/>
          <w:b/>
          <w:bCs/>
          <w:sz w:val="26"/>
          <w:szCs w:val="26"/>
        </w:rPr>
        <w:t xml:space="preserve">1 </w:t>
      </w:r>
      <w:r>
        <w:rPr>
          <w:rFonts w:eastAsia="Arial" w:cs="Arial" w:ascii="Arial" w:hAnsi="Arial"/>
          <w:b/>
          <w:bCs/>
          <w:sz w:val="26"/>
          <w:szCs w:val="26"/>
        </w:rPr>
        <w:t>Introdução e objetivos</w:t>
      </w:r>
    </w:p>
    <w:p>
      <w:pPr>
        <w:pStyle w:val="Normal"/>
        <w:spacing w:lineRule="exact" w:line="360" w:before="0" w:after="120"/>
        <w:jc w:val="both"/>
        <w:rPr/>
      </w:pPr>
      <w:r>
        <w:rPr>
          <w:rFonts w:eastAsia="Arial" w:cs="Arial"/>
          <w:sz w:val="22"/>
          <w:szCs w:val="22"/>
        </w:rPr>
        <w:t>Quando o Tesouro Nacional emite um título Tesouro IPCA+ (NTN-B), ele remunera o investidor pela inflação acumulada mais uma taxa de juro real fixa. Esse juro real é o prêmio exigido para emprestar recursos ao governo por um determinado prazo, e seu valor difere entre prazos: o juro real de 2 anos não é o mesmo que o de 20 anos. O conjunto desses prêmios em diferentes prazos forma a chamada estrutura a termo, ou curva de juros, que possui uma forma própria. Quando os prazos mais longos pagam mais que os curtos, diz-se que a curva é normal; quando os curtos pagam mais que os longos, a curva está invertida.</w:t>
      </w:r>
    </w:p>
    <w:p>
      <w:pPr>
        <w:pStyle w:val="Normal"/>
        <w:spacing w:lineRule="exact" w:line="360" w:before="0" w:after="120"/>
        <w:jc w:val="both"/>
        <w:rPr/>
      </w:pPr>
      <w:r>
        <w:rPr>
          <w:rFonts w:eastAsia="Arial" w:cs="Arial"/>
          <w:sz w:val="22"/>
          <w:szCs w:val="22"/>
        </w:rPr>
        <w:t>No encerramento da amostra analisada (dezembro de 2025), o juro real de 10 anos encontrava-se elevado em relação aos quinze anos anteriores e, simultaneamente, a curva estava invertida. Essa combinação motivou a pergunta que dá título ao trabalho: a forma da curva (sua inclinação) carrega informação sobre o nível do juro real de 10 anos? Uma leitura clássica de mercado associa a inversão da curva à expectativa de que os juros não permanecerão altos, o que tornaria o momento descritivamente incomum.</w:t>
      </w:r>
    </w:p>
    <w:p>
      <w:pPr>
        <w:pStyle w:val="Normal"/>
        <w:spacing w:lineRule="exact" w:line="360" w:before="0" w:after="120"/>
        <w:jc w:val="both"/>
        <w:rPr/>
      </w:pPr>
      <w:r>
        <w:rPr>
          <w:rFonts w:eastAsia="Arial" w:cs="Arial"/>
          <w:b w:val="false"/>
          <w:bCs w:val="false"/>
          <w:i w:val="false"/>
          <w:iCs w:val="false"/>
          <w:sz w:val="22"/>
          <w:szCs w:val="22"/>
        </w:rPr>
        <w:t xml:space="preserve">O objetivo central é duplo. Primeiro, </w:t>
      </w:r>
      <w:r>
        <w:rPr>
          <w:rFonts w:eastAsia="Arial" w:cs="Arial"/>
          <w:b/>
          <w:bCs/>
          <w:i w:val="false"/>
          <w:iCs w:val="false"/>
          <w:sz w:val="22"/>
          <w:szCs w:val="22"/>
        </w:rPr>
        <w:t>explorar ao máximo o conjunto de dados</w:t>
      </w:r>
      <w:r>
        <w:rPr>
          <w:rFonts w:eastAsia="Arial" w:cs="Arial"/>
          <w:b w:val="false"/>
          <w:bCs w:val="false"/>
          <w:i w:val="false"/>
          <w:iCs w:val="false"/>
          <w:sz w:val="22"/>
          <w:szCs w:val="22"/>
        </w:rPr>
        <w:t xml:space="preserve"> para caracterizar o comportamento do prêmio de juro real e suas relações com variáveis macroeconômicas (Selic, inflação e câmbio) e com a própria inclinação da curva. Segundo, </w:t>
      </w:r>
      <w:r>
        <w:rPr>
          <w:rFonts w:eastAsia="Arial" w:cs="Arial"/>
          <w:b/>
          <w:bCs/>
          <w:i w:val="false"/>
          <w:iCs w:val="false"/>
          <w:sz w:val="22"/>
          <w:szCs w:val="22"/>
        </w:rPr>
        <w:t>modelar e prever</w:t>
      </w:r>
      <w:r>
        <w:rPr>
          <w:rFonts w:eastAsia="Arial" w:cs="Arial"/>
          <w:b w:val="false"/>
          <w:bCs w:val="false"/>
          <w:i w:val="false"/>
          <w:iCs w:val="false"/>
          <w:sz w:val="22"/>
          <w:szCs w:val="22"/>
        </w:rPr>
        <w:t xml:space="preserve"> o prêmio de 10 anos por meio de modelos de séries temporais, comparando o desempenho de uma abordagem puramente temporal (que utiliza apenas o passado da própria série) com o de uma regressão que incorpora as variáveis macro e a inclinação. Como objetivo secundário, de natureza interpretativa, avalia-se com ceticismo o que os dados efetivamente sustentam sobre a configuração atual da curva, distinguindo o que é medição do que é hipótese.</w:t>
      </w:r>
    </w:p>
    <w:p>
      <w:pPr>
        <w:pStyle w:val="Normal"/>
        <w:spacing w:lineRule="exact" w:line="360" w:before="0" w:after="120"/>
        <w:jc w:val="both"/>
        <w:rPr>
          <w:rFonts w:ascii="Arial" w:hAnsi="Arial" w:eastAsia="Arial" w:cs="Arial"/>
          <w:b w:val="false"/>
          <w:bCs w:val="false"/>
          <w:i w:val="false"/>
          <w:i w:val="false"/>
          <w:iCs w:val="false"/>
          <w:sz w:val="22"/>
          <w:szCs w:val="22"/>
        </w:rPr>
      </w:pPr>
      <w:r>
        <w:rPr/>
      </w:r>
    </w:p>
    <w:p>
      <w:pPr>
        <w:pStyle w:val="Heading1"/>
        <w:spacing w:lineRule="exact" w:line="360" w:before="240" w:after="120"/>
        <w:ind w:hanging="0"/>
        <w:rPr/>
      </w:pPr>
      <w:r>
        <w:rPr>
          <w:rFonts w:eastAsia="Arial" w:cs="Arial" w:ascii="Arial" w:hAnsi="Arial"/>
          <w:b/>
          <w:bCs/>
          <w:sz w:val="26"/>
          <w:szCs w:val="26"/>
        </w:rPr>
        <w:t xml:space="preserve">2 </w:t>
      </w:r>
      <w:r>
        <w:rPr>
          <w:rFonts w:eastAsia="Arial" w:cs="Arial" w:ascii="Arial" w:hAnsi="Arial"/>
          <w:b/>
          <w:bCs/>
          <w:sz w:val="26"/>
          <w:szCs w:val="26"/>
        </w:rPr>
        <w:t>Materiais e métodos</w:t>
      </w:r>
    </w:p>
    <w:p>
      <w:pPr>
        <w:pStyle w:val="Normal"/>
        <w:spacing w:lineRule="exact" w:line="360" w:before="0" w:after="120"/>
        <w:ind w:hanging="0"/>
        <w:jc w:val="both"/>
        <w:rPr/>
      </w:pPr>
      <w:r>
        <w:rPr>
          <w:rFonts w:eastAsia="Arial" w:cs="Arial"/>
          <w:b/>
          <w:bCs/>
          <w:i w:val="false"/>
          <w:iCs w:val="false"/>
          <w:sz w:val="22"/>
          <w:szCs w:val="22"/>
        </w:rPr>
        <w:t xml:space="preserve">2.1 </w:t>
      </w:r>
      <w:r>
        <w:rPr>
          <w:rFonts w:eastAsia="Arial" w:cs="Arial"/>
          <w:b/>
          <w:bCs/>
          <w:i w:val="false"/>
          <w:iCs w:val="false"/>
          <w:sz w:val="22"/>
          <w:szCs w:val="22"/>
        </w:rPr>
        <w:t>Conjunto de dados</w:t>
      </w:r>
    </w:p>
    <w:p>
      <w:pPr>
        <w:pStyle w:val="Normal"/>
        <w:spacing w:lineRule="exact" w:line="360" w:before="0" w:after="120"/>
        <w:ind w:hanging="0"/>
        <w:jc w:val="both"/>
        <w:rPr/>
      </w:pPr>
      <w:r>
        <w:rPr>
          <w:rFonts w:eastAsia="Arial" w:cs="Arial"/>
          <w:b/>
          <w:bCs/>
          <w:i w:val="false"/>
          <w:iCs w:val="false"/>
          <w:sz w:val="22"/>
          <w:szCs w:val="22"/>
        </w:rPr>
        <w:t xml:space="preserve"> </w:t>
      </w:r>
      <w:r>
        <w:rPr>
          <w:rFonts w:eastAsia="Arial" w:cs="Arial"/>
          <w:b w:val="false"/>
          <w:bCs w:val="false"/>
          <w:i w:val="false"/>
          <w:iCs w:val="false"/>
          <w:sz w:val="22"/>
          <w:szCs w:val="22"/>
        </w:rPr>
        <w:t>Construiu-se um painel mensal cobrindo janeiro de 2005 a dezembro de 2025, a partir de fontes públicas. As variáveis macroeconômicas - IPCA (inflação mensal, %), Selic (taxa acumulada no mês, %) e câmbio (dólar/real, PTAX venda, média mensal) - foram obtidas no Sistema Gerenciador de Séries Temporais (SGS) do Banco Central via pacote rbcb. Os juros reais dos títulos Tesouro IPCA+ (NTN-B Principal) foram obtidos via pacote GetTDData.</w:t>
      </w:r>
    </w:p>
    <w:p>
      <w:pPr>
        <w:pStyle w:val="Normal"/>
        <w:spacing w:lineRule="exact" w:line="360" w:before="0" w:after="120"/>
        <w:ind w:hanging="0"/>
        <w:jc w:val="both"/>
        <w:rPr>
          <w:rFonts w:ascii="Arial" w:hAnsi="Arial" w:eastAsia="Arial" w:cs="Arial"/>
          <w:b w:val="false"/>
          <w:bCs w:val="false"/>
          <w:i w:val="false"/>
          <w:i w:val="false"/>
          <w:iCs w:val="false"/>
          <w:sz w:val="22"/>
          <w:szCs w:val="22"/>
        </w:rPr>
      </w:pPr>
      <w:r>
        <w:rPr/>
      </w:r>
    </w:p>
    <w:p>
      <w:pPr>
        <w:pStyle w:val="Normal"/>
        <w:spacing w:lineRule="exact" w:line="360" w:before="0" w:after="120"/>
        <w:ind w:hanging="0"/>
        <w:jc w:val="both"/>
        <w:rPr/>
      </w:pPr>
      <w:r>
        <w:rPr>
          <w:rFonts w:eastAsia="Arial" w:cs="Arial"/>
          <w:b/>
          <w:bCs/>
          <w:i w:val="false"/>
          <w:iCs w:val="false"/>
          <w:sz w:val="22"/>
          <w:szCs w:val="22"/>
        </w:rPr>
        <w:t xml:space="preserve">2.2 </w:t>
      </w:r>
      <w:r>
        <w:rPr>
          <w:rFonts w:eastAsia="Arial" w:cs="Arial"/>
          <w:b/>
          <w:bCs/>
          <w:i w:val="false"/>
          <w:iCs w:val="false"/>
          <w:sz w:val="22"/>
          <w:szCs w:val="22"/>
        </w:rPr>
        <w:t>Interpolação em maturidade constante</w:t>
      </w:r>
    </w:p>
    <w:p>
      <w:pPr>
        <w:pStyle w:val="Normal"/>
        <w:spacing w:lineRule="exact" w:line="360" w:before="0" w:after="120"/>
        <w:ind w:hanging="0"/>
        <w:jc w:val="both"/>
        <w:rPr/>
      </w:pPr>
      <w:r>
        <w:rPr>
          <w:rFonts w:eastAsia="Arial" w:cs="Arial"/>
          <w:b w:val="false"/>
          <w:bCs w:val="false"/>
          <w:i w:val="false"/>
          <w:iCs w:val="false"/>
          <w:sz w:val="22"/>
          <w:szCs w:val="22"/>
        </w:rPr>
        <w:t xml:space="preserve">  </w:t>
      </w:r>
      <w:r>
        <w:rPr>
          <w:rFonts w:eastAsia="Arial" w:cs="Arial"/>
          <w:b w:val="false"/>
          <w:bCs w:val="false"/>
          <w:i w:val="false"/>
          <w:iCs w:val="false"/>
          <w:sz w:val="22"/>
          <w:szCs w:val="22"/>
        </w:rPr>
        <w:t>Cada título tem vencimento fixo e, portanto, um prazo que diminui a cada dia; num dado mês raramente existe um título exatamente em 2, 5, 10 ou 20 anos, e o título mais próximo de um prazo de referência muda ao longo do tempo. Para obter séries comparáveis ao longo dos anos, interpolou-se linearmente a curva em prazos constantes de 2, 5, 10 e 20 anos a cada data, a partir dos títulos efetivamente negociados. Quando o prazo de referência caía fora do intervalo de títulos disponíveis, o valor foi registrado como ausente (NA) em vez de extrapolado, para não introduzir valores artificiais.</w:t>
      </w:r>
    </w:p>
    <w:p>
      <w:pPr>
        <w:pStyle w:val="Normal"/>
        <w:spacing w:lineRule="exact" w:line="360" w:before="0" w:after="120"/>
        <w:ind w:hanging="0"/>
        <w:jc w:val="both"/>
        <w:rPr>
          <w:rFonts w:ascii="Arial" w:hAnsi="Arial" w:eastAsia="Arial" w:cs="Arial"/>
          <w:b w:val="false"/>
          <w:bCs w:val="false"/>
          <w:i w:val="false"/>
          <w:i w:val="false"/>
          <w:iCs w:val="false"/>
          <w:sz w:val="22"/>
          <w:szCs w:val="22"/>
        </w:rPr>
      </w:pPr>
      <w:r>
        <w:rPr/>
      </w:r>
    </w:p>
    <w:p>
      <w:pPr>
        <w:pStyle w:val="Normal"/>
        <w:spacing w:lineRule="exact" w:line="360" w:before="0" w:after="120"/>
        <w:ind w:hanging="0"/>
        <w:jc w:val="both"/>
        <w:rPr/>
      </w:pPr>
      <w:r>
        <w:rPr>
          <w:rFonts w:eastAsia="Arial" w:cs="Arial"/>
          <w:b/>
          <w:bCs/>
          <w:i w:val="false"/>
          <w:iCs w:val="false"/>
          <w:sz w:val="22"/>
          <w:szCs w:val="22"/>
        </w:rPr>
        <w:t xml:space="preserve">2.3 </w:t>
      </w:r>
      <w:r>
        <w:rPr>
          <w:rFonts w:eastAsia="Arial" w:cs="Arial"/>
          <w:b/>
          <w:bCs/>
          <w:i w:val="false"/>
          <w:iCs w:val="false"/>
          <w:sz w:val="22"/>
          <w:szCs w:val="22"/>
        </w:rPr>
        <w:t>Tratamento e recorte</w:t>
      </w:r>
    </w:p>
    <w:p>
      <w:pPr>
        <w:pStyle w:val="Normal"/>
        <w:spacing w:lineRule="exact" w:line="360" w:before="0" w:after="120"/>
        <w:ind w:hanging="0"/>
        <w:jc w:val="both"/>
        <w:rPr/>
      </w:pPr>
      <w:r>
        <w:rPr>
          <w:rFonts w:eastAsia="Arial" w:cs="Arial"/>
          <w:b w:val="false"/>
          <w:bCs w:val="false"/>
          <w:i w:val="false"/>
          <w:iCs w:val="false"/>
          <w:sz w:val="22"/>
          <w:szCs w:val="22"/>
        </w:rPr>
        <w:t xml:space="preserve">  </w:t>
      </w:r>
      <w:r>
        <w:rPr>
          <w:rFonts w:eastAsia="Arial" w:cs="Arial"/>
          <w:b w:val="false"/>
          <w:bCs w:val="false"/>
          <w:i w:val="false"/>
          <w:iCs w:val="false"/>
          <w:sz w:val="22"/>
          <w:szCs w:val="22"/>
        </w:rPr>
        <w:t>A inspeção de disponibilidade revelou que o vértice de 2 anos é raro (apenas 91 meses, com muitos intervalos vazios), tornando-o inviável; o vértice de 10 anos, ao contrário, é completo e contíguo (246 meses), sendo escolhido como variável-alvo. Os vértices de 5 e 20 anos têm boa cobertura. Por isso, a inclinação da curva foi definida como a diferença entre o prêmio de 20 anos e o de 5 anos (inclinacao = premio_20 − premio_5), e não pela diferença teoricamente ideal de 20 menos 2 anos. A janela de análise foi fixada a partir de maio de 2010, primeiro mês em que a inclinação passa a existir.</w:t>
      </w:r>
    </w:p>
    <w:p>
      <w:pPr>
        <w:pStyle w:val="Normal"/>
        <w:spacing w:lineRule="exact" w:line="360" w:before="0" w:after="120"/>
        <w:jc w:val="both"/>
        <w:rPr>
          <w:rFonts w:ascii="Arial" w:hAnsi="Arial" w:eastAsia="Arial" w:cs="Arial"/>
          <w:b w:val="false"/>
          <w:bCs w:val="false"/>
          <w:i w:val="false"/>
          <w:i w:val="false"/>
          <w:iCs w:val="false"/>
          <w:sz w:val="22"/>
          <w:szCs w:val="22"/>
        </w:rPr>
      </w:pPr>
      <w:r>
        <w:rPr/>
      </w:r>
    </w:p>
    <w:p>
      <w:pPr>
        <w:pStyle w:val="Normal"/>
        <w:spacing w:lineRule="exact" w:line="360" w:before="0" w:after="120"/>
        <w:jc w:val="center"/>
        <w:rPr>
          <w:highlight w:val="none"/>
          <w:shd w:fill="FFFF00" w:val="clear"/>
        </w:rPr>
      </w:pPr>
      <w:r>
        <w:rPr>
          <w:rFonts w:eastAsia="Arial" w:cs="Arial"/>
          <w:b/>
          <w:bCs/>
          <w:i w:val="false"/>
          <w:iCs w:val="false"/>
          <w:sz w:val="22"/>
          <w:szCs w:val="22"/>
          <w:shd w:fill="auto" w:val="clear"/>
        </w:rPr>
        <w:t xml:space="preserve">Tabela </w:t>
      </w:r>
      <w:r>
        <w:rPr>
          <w:rFonts w:eastAsia="Arial" w:cs="Arial"/>
          <w:b/>
          <w:bCs/>
          <w:i w:val="false"/>
          <w:iCs w:val="false"/>
          <w:sz w:val="22"/>
          <w:szCs w:val="22"/>
          <w:shd w:fill="auto" w:val="clear"/>
        </w:rPr>
        <w:t xml:space="preserve">1 - </w:t>
      </w:r>
      <w:r>
        <w:rPr>
          <w:rFonts w:eastAsia="Arial" w:cs="Arial"/>
          <w:b/>
          <w:bCs/>
          <w:i w:val="false"/>
          <w:iCs w:val="false"/>
          <w:sz w:val="22"/>
          <w:szCs w:val="22"/>
          <w:shd w:fill="auto" w:val="clear"/>
        </w:rPr>
        <w:t>Disponibilidade dos vértices</w:t>
      </w:r>
      <w:r>
        <w:rPr>
          <w:rFonts w:eastAsia="Arial" w:cs="Arial"/>
          <w:b w:val="false"/>
          <w:bCs w:val="false"/>
          <w:i w:val="false"/>
          <w:iCs w:val="false"/>
          <w:sz w:val="22"/>
          <w:szCs w:val="22"/>
          <w:shd w:fill="FFFF00" w:val="clear"/>
        </w:rPr>
        <w:t xml:space="preserve"> </w:t>
      </w:r>
    </w:p>
    <w:tbl>
      <w:tblPr>
        <w:tblW w:w="5000" w:type="pct"/>
        <w:jc w:val="left"/>
        <w:tblInd w:w="-5" w:type="dxa"/>
        <w:tblLayout w:type="fixed"/>
        <w:tblCellMar>
          <w:top w:w="55" w:type="dxa"/>
          <w:left w:w="55" w:type="dxa"/>
          <w:bottom w:w="55" w:type="dxa"/>
          <w:right w:w="55" w:type="dxa"/>
        </w:tblCellMar>
      </w:tblPr>
      <w:tblGrid>
        <w:gridCol w:w="1994"/>
        <w:gridCol w:w="1994"/>
        <w:gridCol w:w="1995"/>
        <w:gridCol w:w="1994"/>
        <w:gridCol w:w="1995"/>
      </w:tblGrid>
      <w:tr>
        <w:trPr/>
        <w:tc>
          <w:tcPr>
            <w:tcW w:w="1994" w:type="dxa"/>
            <w:tcBorders>
              <w:top w:val="single" w:sz="4" w:space="0" w:color="000000"/>
              <w:left w:val="single" w:sz="4" w:space="0" w:color="000000"/>
              <w:bottom w:val="single" w:sz="4" w:space="0" w:color="000000"/>
            </w:tcBorders>
          </w:tcPr>
          <w:p>
            <w:pPr>
              <w:pStyle w:val="Contedodatabela"/>
              <w:jc w:val="center"/>
              <w:rPr>
                <w:b/>
                <w:bCs/>
              </w:rPr>
            </w:pPr>
            <w:r>
              <w:rPr>
                <w:b/>
                <w:bCs/>
              </w:rPr>
              <w:t>Vértice</w:t>
            </w:r>
          </w:p>
        </w:tc>
        <w:tc>
          <w:tcPr>
            <w:tcW w:w="1994" w:type="dxa"/>
            <w:tcBorders>
              <w:top w:val="single" w:sz="4" w:space="0" w:color="000000"/>
              <w:left w:val="single" w:sz="4" w:space="0" w:color="000000"/>
              <w:bottom w:val="single" w:sz="4" w:space="0" w:color="000000"/>
            </w:tcBorders>
          </w:tcPr>
          <w:p>
            <w:pPr>
              <w:pStyle w:val="Contedodatabela"/>
              <w:jc w:val="center"/>
              <w:rPr>
                <w:b/>
                <w:bCs/>
              </w:rPr>
            </w:pPr>
            <w:r>
              <w:rPr>
                <w:b/>
                <w:bCs/>
              </w:rPr>
              <w:t>Início</w:t>
            </w:r>
          </w:p>
        </w:tc>
        <w:tc>
          <w:tcPr>
            <w:tcW w:w="1995" w:type="dxa"/>
            <w:tcBorders>
              <w:top w:val="single" w:sz="4" w:space="0" w:color="000000"/>
              <w:left w:val="single" w:sz="4" w:space="0" w:color="000000"/>
              <w:bottom w:val="single" w:sz="4" w:space="0" w:color="000000"/>
            </w:tcBorders>
          </w:tcPr>
          <w:p>
            <w:pPr>
              <w:pStyle w:val="Contedodatabela"/>
              <w:jc w:val="center"/>
              <w:rPr>
                <w:b/>
                <w:bCs/>
              </w:rPr>
            </w:pPr>
            <w:r>
              <w:rPr>
                <w:b/>
                <w:bCs/>
              </w:rPr>
              <w:t>Fim</w:t>
            </w:r>
          </w:p>
        </w:tc>
        <w:tc>
          <w:tcPr>
            <w:tcW w:w="1994" w:type="dxa"/>
            <w:tcBorders>
              <w:top w:val="single" w:sz="4" w:space="0" w:color="000000"/>
              <w:left w:val="single" w:sz="4" w:space="0" w:color="000000"/>
              <w:bottom w:val="single" w:sz="4" w:space="0" w:color="000000"/>
            </w:tcBorders>
          </w:tcPr>
          <w:p>
            <w:pPr>
              <w:pStyle w:val="Contedodatabela"/>
              <w:jc w:val="center"/>
              <w:rPr>
                <w:b/>
                <w:bCs/>
              </w:rPr>
            </w:pPr>
            <w:r>
              <w:rPr>
                <w:b/>
                <w:bCs/>
              </w:rPr>
              <w:t>Meses válidos</w:t>
            </w:r>
          </w:p>
        </w:tc>
        <w:tc>
          <w:tcPr>
            <w:tcW w:w="1995" w:type="dxa"/>
            <w:tcBorders>
              <w:top w:val="single" w:sz="4" w:space="0" w:color="000000"/>
              <w:left w:val="single" w:sz="4" w:space="0" w:color="000000"/>
              <w:bottom w:val="single" w:sz="4" w:space="0" w:color="000000"/>
              <w:right w:val="single" w:sz="4" w:space="0" w:color="000000"/>
            </w:tcBorders>
          </w:tcPr>
          <w:p>
            <w:pPr>
              <w:pStyle w:val="Contedodatabela"/>
              <w:jc w:val="center"/>
              <w:rPr>
                <w:b/>
                <w:bCs/>
              </w:rPr>
            </w:pPr>
            <w:r>
              <w:rPr>
                <w:b/>
                <w:bCs/>
              </w:rPr>
              <w:t>Buracos internos</w:t>
            </w:r>
          </w:p>
        </w:tc>
      </w:tr>
      <w:tr>
        <w:trPr/>
        <w:tc>
          <w:tcPr>
            <w:tcW w:w="1994" w:type="dxa"/>
            <w:tcBorders>
              <w:left w:val="single" w:sz="4" w:space="0" w:color="000000"/>
              <w:bottom w:val="single" w:sz="4" w:space="0" w:color="000000"/>
            </w:tcBorders>
          </w:tcPr>
          <w:p>
            <w:pPr>
              <w:pStyle w:val="Contedodatabela"/>
              <w:jc w:val="center"/>
              <w:rPr/>
            </w:pPr>
            <w:r>
              <w:rPr/>
              <w:t>premio_2</w:t>
            </w:r>
          </w:p>
        </w:tc>
        <w:tc>
          <w:tcPr>
            <w:tcW w:w="1994" w:type="dxa"/>
            <w:tcBorders>
              <w:left w:val="single" w:sz="4" w:space="0" w:color="000000"/>
              <w:bottom w:val="single" w:sz="4" w:space="0" w:color="000000"/>
            </w:tcBorders>
          </w:tcPr>
          <w:p>
            <w:pPr>
              <w:pStyle w:val="Contedodatabela"/>
              <w:jc w:val="center"/>
              <w:rPr/>
            </w:pPr>
            <w:r>
              <w:rPr/>
              <w:t>Maio 2013</w:t>
            </w:r>
          </w:p>
        </w:tc>
        <w:tc>
          <w:tcPr>
            <w:tcW w:w="1995" w:type="dxa"/>
            <w:tcBorders>
              <w:left w:val="single" w:sz="4" w:space="0" w:color="000000"/>
              <w:bottom w:val="single" w:sz="4" w:space="0" w:color="000000"/>
            </w:tcBorders>
          </w:tcPr>
          <w:p>
            <w:pPr>
              <w:pStyle w:val="Contedodatabela"/>
              <w:jc w:val="center"/>
              <w:rPr/>
            </w:pPr>
            <w:r>
              <w:rPr/>
              <w:t>Dezembro 2025</w:t>
            </w:r>
          </w:p>
        </w:tc>
        <w:tc>
          <w:tcPr>
            <w:tcW w:w="1994" w:type="dxa"/>
            <w:tcBorders>
              <w:left w:val="single" w:sz="4" w:space="0" w:color="000000"/>
              <w:bottom w:val="single" w:sz="4" w:space="0" w:color="000000"/>
            </w:tcBorders>
          </w:tcPr>
          <w:p>
            <w:pPr>
              <w:pStyle w:val="Contedodatabela"/>
              <w:jc w:val="center"/>
              <w:rPr/>
            </w:pPr>
            <w:r>
              <w:rPr/>
              <w:t>91</w:t>
            </w:r>
          </w:p>
        </w:tc>
        <w:tc>
          <w:tcPr>
            <w:tcW w:w="1995" w:type="dxa"/>
            <w:tcBorders>
              <w:left w:val="single" w:sz="4" w:space="0" w:color="000000"/>
              <w:bottom w:val="single" w:sz="4" w:space="0" w:color="000000"/>
              <w:right w:val="single" w:sz="4" w:space="0" w:color="000000"/>
            </w:tcBorders>
          </w:tcPr>
          <w:p>
            <w:pPr>
              <w:pStyle w:val="Contedodatabela"/>
              <w:jc w:val="center"/>
              <w:rPr/>
            </w:pPr>
            <w:r>
              <w:rPr/>
              <w:t>61</w:t>
            </w:r>
          </w:p>
        </w:tc>
      </w:tr>
      <w:tr>
        <w:trPr/>
        <w:tc>
          <w:tcPr>
            <w:tcW w:w="1994" w:type="dxa"/>
            <w:tcBorders>
              <w:left w:val="single" w:sz="4" w:space="0" w:color="000000"/>
              <w:bottom w:val="single" w:sz="4" w:space="0" w:color="000000"/>
            </w:tcBorders>
          </w:tcPr>
          <w:p>
            <w:pPr>
              <w:pStyle w:val="Contedodatabela"/>
              <w:jc w:val="center"/>
              <w:rPr/>
            </w:pPr>
            <w:r>
              <w:rPr/>
              <w:t>premio_5</w:t>
            </w:r>
          </w:p>
        </w:tc>
        <w:tc>
          <w:tcPr>
            <w:tcW w:w="1994" w:type="dxa"/>
            <w:tcBorders>
              <w:left w:val="single" w:sz="4" w:space="0" w:color="000000"/>
              <w:bottom w:val="single" w:sz="4" w:space="0" w:color="000000"/>
            </w:tcBorders>
          </w:tcPr>
          <w:p>
            <w:pPr>
              <w:pStyle w:val="Contedodatabela"/>
              <w:jc w:val="center"/>
              <w:rPr/>
            </w:pPr>
            <w:r>
              <w:rPr/>
              <w:t>Maio 2010</w:t>
            </w:r>
          </w:p>
        </w:tc>
        <w:tc>
          <w:tcPr>
            <w:tcW w:w="1995" w:type="dxa"/>
            <w:tcBorders>
              <w:left w:val="single" w:sz="4" w:space="0" w:color="000000"/>
              <w:bottom w:val="single" w:sz="4" w:space="0" w:color="000000"/>
            </w:tcBorders>
          </w:tcPr>
          <w:p>
            <w:pPr>
              <w:pStyle w:val="Contedodatabela"/>
              <w:jc w:val="center"/>
              <w:rPr/>
            </w:pPr>
            <w:r>
              <w:rPr/>
              <w:t>Dezembro 2025</w:t>
            </w:r>
          </w:p>
        </w:tc>
        <w:tc>
          <w:tcPr>
            <w:tcW w:w="1994" w:type="dxa"/>
            <w:tcBorders>
              <w:left w:val="single" w:sz="4" w:space="0" w:color="000000"/>
              <w:bottom w:val="single" w:sz="4" w:space="0" w:color="000000"/>
            </w:tcBorders>
          </w:tcPr>
          <w:p>
            <w:pPr>
              <w:pStyle w:val="Contedodatabela"/>
              <w:jc w:val="center"/>
              <w:rPr/>
            </w:pPr>
            <w:r>
              <w:rPr/>
              <w:t>186</w:t>
            </w:r>
          </w:p>
        </w:tc>
        <w:tc>
          <w:tcPr>
            <w:tcW w:w="1995" w:type="dxa"/>
            <w:tcBorders>
              <w:left w:val="single" w:sz="4" w:space="0" w:color="000000"/>
              <w:bottom w:val="single" w:sz="4" w:space="0" w:color="000000"/>
              <w:right w:val="single" w:sz="4" w:space="0" w:color="000000"/>
            </w:tcBorders>
          </w:tcPr>
          <w:p>
            <w:pPr>
              <w:pStyle w:val="Contedodatabela"/>
              <w:jc w:val="center"/>
              <w:rPr/>
            </w:pPr>
            <w:r>
              <w:rPr/>
              <w:t>2</w:t>
            </w:r>
          </w:p>
        </w:tc>
      </w:tr>
      <w:tr>
        <w:trPr/>
        <w:tc>
          <w:tcPr>
            <w:tcW w:w="1994" w:type="dxa"/>
            <w:tcBorders>
              <w:left w:val="single" w:sz="4" w:space="0" w:color="000000"/>
              <w:bottom w:val="single" w:sz="4" w:space="0" w:color="000000"/>
            </w:tcBorders>
          </w:tcPr>
          <w:p>
            <w:pPr>
              <w:pStyle w:val="Contedodatabela"/>
              <w:jc w:val="center"/>
              <w:rPr/>
            </w:pPr>
            <w:r>
              <w:rPr/>
              <w:t>premio_10</w:t>
            </w:r>
          </w:p>
        </w:tc>
        <w:tc>
          <w:tcPr>
            <w:tcW w:w="1994" w:type="dxa"/>
            <w:tcBorders>
              <w:left w:val="single" w:sz="4" w:space="0" w:color="000000"/>
              <w:bottom w:val="single" w:sz="4" w:space="0" w:color="000000"/>
            </w:tcBorders>
          </w:tcPr>
          <w:p>
            <w:pPr>
              <w:pStyle w:val="Contedodatabela"/>
              <w:jc w:val="center"/>
              <w:rPr/>
            </w:pPr>
            <w:r>
              <w:rPr/>
              <w:t>Julho 2005</w:t>
            </w:r>
          </w:p>
        </w:tc>
        <w:tc>
          <w:tcPr>
            <w:tcW w:w="1995" w:type="dxa"/>
            <w:tcBorders>
              <w:left w:val="single" w:sz="4" w:space="0" w:color="000000"/>
              <w:bottom w:val="single" w:sz="4" w:space="0" w:color="000000"/>
            </w:tcBorders>
          </w:tcPr>
          <w:p>
            <w:pPr>
              <w:pStyle w:val="Contedodatabela"/>
              <w:jc w:val="center"/>
              <w:rPr/>
            </w:pPr>
            <w:r>
              <w:rPr/>
              <w:t>Dezembro 2025</w:t>
            </w:r>
          </w:p>
        </w:tc>
        <w:tc>
          <w:tcPr>
            <w:tcW w:w="1994" w:type="dxa"/>
            <w:tcBorders>
              <w:left w:val="single" w:sz="4" w:space="0" w:color="000000"/>
              <w:bottom w:val="single" w:sz="4" w:space="0" w:color="000000"/>
            </w:tcBorders>
          </w:tcPr>
          <w:p>
            <w:pPr>
              <w:pStyle w:val="Contedodatabela"/>
              <w:jc w:val="center"/>
              <w:rPr/>
            </w:pPr>
            <w:r>
              <w:rPr/>
              <w:t>246</w:t>
            </w:r>
          </w:p>
        </w:tc>
        <w:tc>
          <w:tcPr>
            <w:tcW w:w="1995" w:type="dxa"/>
            <w:tcBorders>
              <w:left w:val="single" w:sz="4" w:space="0" w:color="000000"/>
              <w:bottom w:val="single" w:sz="4" w:space="0" w:color="000000"/>
              <w:right w:val="single" w:sz="4" w:space="0" w:color="000000"/>
            </w:tcBorders>
          </w:tcPr>
          <w:p>
            <w:pPr>
              <w:pStyle w:val="Contedodatabela"/>
              <w:jc w:val="center"/>
              <w:rPr/>
            </w:pPr>
            <w:r>
              <w:rPr/>
              <w:t>0</w:t>
            </w:r>
          </w:p>
        </w:tc>
      </w:tr>
      <w:tr>
        <w:trPr/>
        <w:tc>
          <w:tcPr>
            <w:tcW w:w="1994" w:type="dxa"/>
            <w:tcBorders>
              <w:left w:val="single" w:sz="4" w:space="0" w:color="000000"/>
              <w:bottom w:val="single" w:sz="4" w:space="0" w:color="000000"/>
            </w:tcBorders>
          </w:tcPr>
          <w:p>
            <w:pPr>
              <w:pStyle w:val="Contedodatabela"/>
              <w:jc w:val="center"/>
              <w:rPr/>
            </w:pPr>
            <w:r>
              <w:rPr/>
              <w:t>premio_20</w:t>
            </w:r>
          </w:p>
        </w:tc>
        <w:tc>
          <w:tcPr>
            <w:tcW w:w="1994" w:type="dxa"/>
            <w:tcBorders>
              <w:left w:val="single" w:sz="4" w:space="0" w:color="000000"/>
              <w:bottom w:val="single" w:sz="4" w:space="0" w:color="000000"/>
            </w:tcBorders>
          </w:tcPr>
          <w:p>
            <w:pPr>
              <w:pStyle w:val="Contedodatabela"/>
              <w:jc w:val="center"/>
              <w:rPr/>
            </w:pPr>
            <w:r>
              <w:rPr/>
              <w:t>Março 2010</w:t>
            </w:r>
          </w:p>
        </w:tc>
        <w:tc>
          <w:tcPr>
            <w:tcW w:w="1995" w:type="dxa"/>
            <w:tcBorders>
              <w:left w:val="single" w:sz="4" w:space="0" w:color="000000"/>
              <w:bottom w:val="single" w:sz="4" w:space="0" w:color="000000"/>
            </w:tcBorders>
          </w:tcPr>
          <w:p>
            <w:pPr>
              <w:pStyle w:val="Contedodatabela"/>
              <w:jc w:val="center"/>
              <w:rPr/>
            </w:pPr>
            <w:r>
              <w:rPr/>
              <w:t>Dezembro 2025</w:t>
            </w:r>
          </w:p>
        </w:tc>
        <w:tc>
          <w:tcPr>
            <w:tcW w:w="1994" w:type="dxa"/>
            <w:tcBorders>
              <w:left w:val="single" w:sz="4" w:space="0" w:color="000000"/>
              <w:bottom w:val="single" w:sz="4" w:space="0" w:color="000000"/>
            </w:tcBorders>
          </w:tcPr>
          <w:p>
            <w:pPr>
              <w:pStyle w:val="Contedodatabela"/>
              <w:jc w:val="center"/>
              <w:rPr/>
            </w:pPr>
            <w:r>
              <w:rPr/>
              <w:t>170</w:t>
            </w:r>
          </w:p>
        </w:tc>
        <w:tc>
          <w:tcPr>
            <w:tcW w:w="1995" w:type="dxa"/>
            <w:tcBorders>
              <w:left w:val="single" w:sz="4" w:space="0" w:color="000000"/>
              <w:bottom w:val="single" w:sz="4" w:space="0" w:color="000000"/>
              <w:right w:val="single" w:sz="4" w:space="0" w:color="000000"/>
            </w:tcBorders>
          </w:tcPr>
          <w:p>
            <w:pPr>
              <w:pStyle w:val="Contedodatabela"/>
              <w:jc w:val="center"/>
              <w:rPr/>
            </w:pPr>
            <w:r>
              <w:rPr/>
              <w:t>20</w:t>
            </w:r>
          </w:p>
        </w:tc>
      </w:tr>
    </w:tbl>
    <w:p>
      <w:pPr>
        <w:pStyle w:val="Normal"/>
        <w:spacing w:lineRule="exact" w:line="360" w:before="0" w:after="120"/>
        <w:jc w:val="both"/>
        <w:rPr>
          <w:highlight w:val="none"/>
          <w:shd w:fill="FFFF00" w:val="clear"/>
        </w:rPr>
      </w:pPr>
      <w:r>
        <w:rPr>
          <w:shd w:fill="FFFF00" w:val="clear"/>
        </w:rPr>
      </w:r>
    </w:p>
    <w:p>
      <w:pPr>
        <w:pStyle w:val="Normal"/>
        <w:spacing w:lineRule="exact" w:line="360" w:before="0" w:after="120"/>
        <w:ind w:hanging="0"/>
        <w:jc w:val="both"/>
        <w:rPr/>
      </w:pPr>
      <w:r>
        <w:rPr>
          <w:rFonts w:eastAsia="Arial" w:cs="Arial"/>
          <w:b/>
          <w:bCs/>
          <w:i w:val="false"/>
          <w:iCs w:val="false"/>
          <w:sz w:val="22"/>
          <w:szCs w:val="22"/>
        </w:rPr>
        <w:t xml:space="preserve">2.4 </w:t>
      </w:r>
      <w:r>
        <w:rPr>
          <w:rFonts w:eastAsia="Arial" w:cs="Arial"/>
          <w:b/>
          <w:bCs/>
          <w:i w:val="false"/>
          <w:iCs w:val="false"/>
          <w:sz w:val="22"/>
          <w:szCs w:val="22"/>
        </w:rPr>
        <w:t>Métodos</w:t>
      </w:r>
    </w:p>
    <w:p>
      <w:pPr>
        <w:pStyle w:val="Normal"/>
        <w:spacing w:lineRule="exact" w:line="360" w:before="0" w:after="120"/>
        <w:ind w:hanging="0"/>
        <w:jc w:val="both"/>
        <w:rPr/>
      </w:pPr>
      <w:r>
        <w:rPr>
          <w:rFonts w:eastAsia="Arial" w:cs="Arial"/>
          <w:b w:val="false"/>
          <w:bCs w:val="false"/>
          <w:i w:val="false"/>
          <w:iCs w:val="false"/>
          <w:sz w:val="22"/>
          <w:szCs w:val="22"/>
        </w:rPr>
        <w:t xml:space="preserve">  </w:t>
      </w:r>
      <w:r>
        <w:rPr>
          <w:rFonts w:eastAsia="Arial" w:cs="Arial"/>
          <w:b w:val="false"/>
          <w:bCs w:val="false"/>
          <w:i w:val="false"/>
          <w:iCs w:val="false"/>
          <w:sz w:val="22"/>
          <w:szCs w:val="22"/>
        </w:rPr>
        <w:t xml:space="preserve">A análise exploratória incluiu estatísticas descritivas, histogramas, matriz de correlação e gráficos de dispersão. Por se tratar de séries com tendência, as correlações foram avaliadas tanto em nível quanto em primeiras diferenças, para distinguir relações genuínas de correlações espúrias decorrentes de tendências comuns. A estacionariedade foi avaliada pelos testes ADF e função ndiffs, </w:t>
      </w:r>
      <w:r>
        <w:rPr>
          <w:rFonts w:eastAsia="Arial" w:cs="Arial"/>
          <w:b w:val="false"/>
          <w:bCs w:val="false"/>
          <w:i w:val="false"/>
          <w:iCs w:val="false"/>
          <w:sz w:val="22"/>
          <w:szCs w:val="22"/>
        </w:rPr>
        <w:t xml:space="preserve">mas também foi avaliada via </w:t>
      </w:r>
      <w:r>
        <w:rPr>
          <w:rFonts w:eastAsia="Arial" w:cs="Arial"/>
          <w:b w:val="false"/>
          <w:bCs w:val="false"/>
          <w:i w:val="false"/>
          <w:iCs w:val="false"/>
          <w:sz w:val="22"/>
          <w:szCs w:val="22"/>
        </w:rPr>
        <w:t xml:space="preserve">inspeção </w:t>
      </w:r>
      <w:r>
        <w:rPr>
          <w:rFonts w:eastAsia="Arial" w:cs="Arial"/>
          <w:b w:val="false"/>
          <w:bCs w:val="false"/>
          <w:i w:val="false"/>
          <w:iCs w:val="false"/>
          <w:sz w:val="22"/>
          <w:szCs w:val="22"/>
        </w:rPr>
        <w:t xml:space="preserve">visual dos outputs da </w:t>
      </w:r>
      <w:r>
        <w:rPr>
          <w:rFonts w:eastAsia="Arial" w:cs="Arial"/>
          <w:b w:val="false"/>
          <w:bCs w:val="false"/>
          <w:i w:val="false"/>
          <w:iCs w:val="false"/>
          <w:sz w:val="22"/>
          <w:szCs w:val="22"/>
        </w:rPr>
        <w:t xml:space="preserve">função de autocorrelação (ACF) e da autocorrelação parcial (PACF). A modelagem da série-alvo empregou os modelos: ARIMA (automático via auto.arima e ajuste manual), suavização exponencial de Holt e o modelo ETS automático. Como concorrente, ajustou-se ainda uma regressão linear múltipla do prêmio de 10 anos sobre Selic, IPCA, câmbio e inclinação, com diagnóstico de resíduos  </w:t>
      </w:r>
      <w:r>
        <w:rPr>
          <w:rFonts w:eastAsia="Arial" w:cs="Arial"/>
          <w:b w:val="false"/>
          <w:bCs w:val="false"/>
          <w:i w:val="false"/>
          <w:iCs w:val="false"/>
          <w:sz w:val="22"/>
          <w:szCs w:val="22"/>
        </w:rPr>
        <w:t>via função checkresiduals (que usou o  teste de autocorrelação dos resíduos de Breusch-Godfrey)</w:t>
      </w:r>
      <w:r>
        <w:rPr>
          <w:rFonts w:eastAsia="Arial" w:cs="Arial"/>
          <w:b w:val="false"/>
          <w:bCs w:val="false"/>
          <w:i w:val="false"/>
          <w:iCs w:val="false"/>
          <w:sz w:val="22"/>
          <w:szCs w:val="22"/>
        </w:rPr>
        <w:t>. A comparação de previsão usou separação treino/teste - treino até dezembro de 2024 e teste nos doze meses de 2025 - avaliada pelo erro absoluto médio (EAM/MAE). As análises foram realizadas no R, a sintaxe completa está no anexo.</w:t>
      </w:r>
    </w:p>
    <w:p>
      <w:pPr>
        <w:pStyle w:val="Heading1"/>
        <w:spacing w:lineRule="exact" w:line="360" w:before="240" w:after="120"/>
        <w:ind w:hanging="0"/>
        <w:rPr/>
      </w:pPr>
      <w:r>
        <w:rPr>
          <w:rFonts w:eastAsia="Arial" w:cs="Arial" w:ascii="Arial" w:hAnsi="Arial"/>
          <w:b/>
          <w:bCs/>
          <w:sz w:val="26"/>
          <w:szCs w:val="26"/>
        </w:rPr>
        <w:t xml:space="preserve">3 </w:t>
      </w:r>
      <w:r>
        <w:rPr>
          <w:rFonts w:eastAsia="Arial" w:cs="Arial" w:ascii="Arial" w:hAnsi="Arial"/>
          <w:b/>
          <w:bCs/>
          <w:sz w:val="26"/>
          <w:szCs w:val="26"/>
        </w:rPr>
        <w:t>Resultados e discussões</w:t>
      </w:r>
    </w:p>
    <w:p>
      <w:pPr>
        <w:pStyle w:val="Normal"/>
        <w:spacing w:lineRule="exact" w:line="360" w:before="0" w:after="120"/>
        <w:ind w:hanging="0"/>
        <w:jc w:val="both"/>
        <w:rPr/>
      </w:pPr>
      <w:r>
        <w:rPr>
          <w:rFonts w:eastAsia="Arial" w:cs="Arial"/>
          <w:b/>
          <w:bCs/>
          <w:i w:val="false"/>
          <w:iCs w:val="false"/>
          <w:sz w:val="22"/>
          <w:szCs w:val="22"/>
        </w:rPr>
        <w:t xml:space="preserve">3.1 </w:t>
      </w:r>
      <w:r>
        <w:rPr>
          <w:rFonts w:eastAsia="Arial" w:cs="Arial"/>
          <w:b/>
          <w:bCs/>
          <w:i w:val="false"/>
          <w:iCs w:val="false"/>
          <w:sz w:val="22"/>
          <w:szCs w:val="22"/>
        </w:rPr>
        <w:t>Caracterização das variáveis</w:t>
      </w:r>
    </w:p>
    <w:p>
      <w:pPr>
        <w:pStyle w:val="Normal"/>
        <w:spacing w:lineRule="exact" w:line="360" w:before="0" w:after="120"/>
        <w:ind w:hanging="0"/>
        <w:jc w:val="both"/>
        <w:rPr/>
      </w:pPr>
      <w:r>
        <w:rPr>
          <w:rFonts w:eastAsia="Arial" w:cs="Arial"/>
          <w:b w:val="false"/>
          <w:bCs w:val="false"/>
          <w:i w:val="false"/>
          <w:iCs w:val="false"/>
          <w:sz w:val="22"/>
          <w:szCs w:val="22"/>
        </w:rPr>
        <w:t xml:space="preserve">  </w:t>
      </w:r>
      <w:r>
        <w:rPr>
          <w:rFonts w:eastAsia="Arial" w:cs="Arial"/>
          <w:b w:val="false"/>
          <w:bCs w:val="false"/>
          <w:i w:val="false"/>
          <w:iCs w:val="false"/>
          <w:sz w:val="22"/>
          <w:szCs w:val="22"/>
        </w:rPr>
        <w:t xml:space="preserve">No período, o prêmio de 10 anos teve média de 5,4% a.a. (mediana 5,6%), variando de 2,7% a 7,6% </w:t>
      </w:r>
      <w:r>
        <w:rPr>
          <w:rFonts w:eastAsia="Arial" w:cs="Arial"/>
          <w:b w:val="false"/>
          <w:bCs w:val="false"/>
          <w:i w:val="false"/>
          <w:iCs w:val="false"/>
          <w:sz w:val="22"/>
          <w:szCs w:val="22"/>
        </w:rPr>
        <w:t>(</w:t>
      </w:r>
      <w:r>
        <w:rPr>
          <w:rFonts w:eastAsia="Arial" w:cs="Arial"/>
          <w:b/>
          <w:bCs/>
          <w:i w:val="false"/>
          <w:iCs w:val="false"/>
          <w:sz w:val="22"/>
          <w:szCs w:val="22"/>
        </w:rPr>
        <w:t>Tabela 2</w:t>
      </w:r>
      <w:r>
        <w:rPr>
          <w:rFonts w:eastAsia="Arial" w:cs="Arial"/>
          <w:b w:val="false"/>
          <w:bCs w:val="false"/>
          <w:i w:val="false"/>
          <w:iCs w:val="false"/>
          <w:sz w:val="22"/>
          <w:szCs w:val="22"/>
        </w:rPr>
        <w:t>)</w:t>
      </w:r>
      <w:r>
        <w:rPr>
          <w:rFonts w:eastAsia="Arial" w:cs="Arial"/>
          <w:b w:val="false"/>
          <w:bCs w:val="false"/>
          <w:i w:val="false"/>
          <w:iCs w:val="false"/>
          <w:sz w:val="22"/>
          <w:szCs w:val="22"/>
        </w:rPr>
        <w:t xml:space="preserve">, e sua distribuição apresenta mais de um aglomerado, sugerindo a passagem por patamares distintos </w:t>
      </w:r>
      <w:r>
        <w:rPr>
          <w:rFonts w:eastAsia="Arial" w:cs="Arial"/>
          <w:b w:val="false"/>
          <w:bCs w:val="false"/>
          <w:i w:val="false"/>
          <w:iCs w:val="false"/>
          <w:sz w:val="22"/>
          <w:szCs w:val="22"/>
        </w:rPr>
        <w:t>(</w:t>
      </w:r>
      <w:r>
        <w:rPr>
          <w:rFonts w:eastAsia="Arial" w:cs="Arial"/>
          <w:b/>
          <w:bCs/>
          <w:i w:val="false"/>
          <w:iCs w:val="false"/>
          <w:sz w:val="22"/>
          <w:szCs w:val="22"/>
        </w:rPr>
        <w:t>Figura 1</w:t>
      </w:r>
      <w:r>
        <w:rPr>
          <w:rFonts w:eastAsia="Arial" w:cs="Arial"/>
          <w:b w:val="false"/>
          <w:bCs w:val="false"/>
          <w:i w:val="false"/>
          <w:iCs w:val="false"/>
          <w:sz w:val="22"/>
          <w:szCs w:val="22"/>
        </w:rPr>
        <w:t>)</w:t>
      </w:r>
      <w:r>
        <w:rPr>
          <w:rFonts w:eastAsia="Arial" w:cs="Arial"/>
          <w:b w:val="false"/>
          <w:bCs w:val="false"/>
          <w:i w:val="false"/>
          <w:iCs w:val="false"/>
          <w:sz w:val="22"/>
          <w:szCs w:val="22"/>
        </w:rPr>
        <w:t>. A inclinação teve média positiva (0,41) mas ampla variação (−0,76 a 1,88), tendo passado tanto por curva normal quanto invertida. O câmbio foi a variável de maior dispersão, refletindo a desvalorização do real ao longo dos quinze anos.</w:t>
      </w:r>
    </w:p>
    <w:p>
      <w:pPr>
        <w:pStyle w:val="Normal"/>
        <w:spacing w:lineRule="exact" w:line="360" w:before="0" w:after="120"/>
        <w:ind w:hanging="0"/>
        <w:jc w:val="both"/>
        <w:rPr>
          <w:rFonts w:ascii="Arial" w:hAnsi="Arial" w:eastAsia="Arial" w:cs="Arial"/>
          <w:b w:val="false"/>
          <w:bCs w:val="false"/>
          <w:i w:val="false"/>
          <w:i w:val="false"/>
          <w:iCs w:val="false"/>
          <w:sz w:val="22"/>
          <w:szCs w:val="22"/>
        </w:rPr>
      </w:pPr>
      <w:r>
        <w:rPr/>
      </w:r>
    </w:p>
    <w:p>
      <w:pPr>
        <w:pStyle w:val="Normal"/>
        <w:spacing w:lineRule="exact" w:line="360" w:before="0" w:after="120"/>
        <w:ind w:hanging="0"/>
        <w:jc w:val="center"/>
        <w:rPr>
          <w:b/>
          <w:bCs/>
        </w:rPr>
      </w:pPr>
      <w:r>
        <w:rPr>
          <w:rFonts w:eastAsia="Arial" w:cs="Arial"/>
          <w:b/>
          <w:bCs/>
          <w:i w:val="false"/>
          <w:iCs w:val="false"/>
          <w:sz w:val="22"/>
          <w:szCs w:val="22"/>
        </w:rPr>
        <w:t>Tabela 2 - Estatísticas descritivas das variáveis (jan 2010 a dez 2025)</w:t>
      </w:r>
    </w:p>
    <w:tbl>
      <w:tblPr>
        <w:tblW w:w="5000" w:type="pct"/>
        <w:jc w:val="left"/>
        <w:tblInd w:w="-5" w:type="dxa"/>
        <w:tblLayout w:type="fixed"/>
        <w:tblCellMar>
          <w:top w:w="55" w:type="dxa"/>
          <w:left w:w="55" w:type="dxa"/>
          <w:bottom w:w="55" w:type="dxa"/>
          <w:right w:w="55" w:type="dxa"/>
        </w:tblCellMar>
      </w:tblPr>
      <w:tblGrid>
        <w:gridCol w:w="1424"/>
        <w:gridCol w:w="1425"/>
        <w:gridCol w:w="1424"/>
        <w:gridCol w:w="1425"/>
        <w:gridCol w:w="1424"/>
        <w:gridCol w:w="1425"/>
        <w:gridCol w:w="1425"/>
      </w:tblGrid>
      <w:tr>
        <w:trPr/>
        <w:tc>
          <w:tcPr>
            <w:tcW w:w="1424" w:type="dxa"/>
            <w:tcBorders>
              <w:top w:val="single" w:sz="4" w:space="0" w:color="000000"/>
              <w:left w:val="single" w:sz="4" w:space="0" w:color="000000"/>
              <w:bottom w:val="single" w:sz="4" w:space="0" w:color="000000"/>
            </w:tcBorders>
            <w:vAlign w:val="center"/>
          </w:tcPr>
          <w:p>
            <w:pPr>
              <w:pStyle w:val="Contedodatabela"/>
              <w:ind w:hanging="0"/>
              <w:jc w:val="center"/>
              <w:rPr>
                <w:b/>
                <w:bCs/>
              </w:rPr>
            </w:pPr>
            <w:r>
              <w:rPr>
                <w:b/>
                <w:bCs/>
              </w:rPr>
              <w:t>Variável</w:t>
            </w:r>
          </w:p>
        </w:tc>
        <w:tc>
          <w:tcPr>
            <w:tcW w:w="1425" w:type="dxa"/>
            <w:tcBorders>
              <w:top w:val="single" w:sz="4" w:space="0" w:color="000000"/>
              <w:left w:val="single" w:sz="4" w:space="0" w:color="000000"/>
              <w:bottom w:val="single" w:sz="4" w:space="0" w:color="000000"/>
            </w:tcBorders>
            <w:vAlign w:val="center"/>
          </w:tcPr>
          <w:p>
            <w:pPr>
              <w:pStyle w:val="Contedodatabela"/>
              <w:ind w:hanging="0"/>
              <w:jc w:val="center"/>
              <w:rPr>
                <w:b/>
                <w:bCs/>
              </w:rPr>
            </w:pPr>
            <w:r>
              <w:rPr>
                <w:b/>
                <w:bCs/>
              </w:rPr>
              <w:t>N</w:t>
            </w:r>
          </w:p>
        </w:tc>
        <w:tc>
          <w:tcPr>
            <w:tcW w:w="1424" w:type="dxa"/>
            <w:tcBorders>
              <w:top w:val="single" w:sz="4" w:space="0" w:color="000000"/>
              <w:left w:val="single" w:sz="4" w:space="0" w:color="000000"/>
              <w:bottom w:val="single" w:sz="4" w:space="0" w:color="000000"/>
            </w:tcBorders>
            <w:vAlign w:val="center"/>
          </w:tcPr>
          <w:p>
            <w:pPr>
              <w:pStyle w:val="Contedodatabela"/>
              <w:ind w:hanging="0"/>
              <w:jc w:val="center"/>
              <w:rPr>
                <w:b/>
                <w:bCs/>
              </w:rPr>
            </w:pPr>
            <w:r>
              <w:rPr>
                <w:b/>
                <w:bCs/>
              </w:rPr>
              <w:t>Média</w:t>
            </w:r>
          </w:p>
        </w:tc>
        <w:tc>
          <w:tcPr>
            <w:tcW w:w="1425" w:type="dxa"/>
            <w:tcBorders>
              <w:top w:val="single" w:sz="4" w:space="0" w:color="000000"/>
              <w:left w:val="single" w:sz="4" w:space="0" w:color="000000"/>
              <w:bottom w:val="single" w:sz="4" w:space="0" w:color="000000"/>
            </w:tcBorders>
            <w:vAlign w:val="center"/>
          </w:tcPr>
          <w:p>
            <w:pPr>
              <w:pStyle w:val="Contedodatabela"/>
              <w:ind w:hanging="0"/>
              <w:jc w:val="center"/>
              <w:rPr>
                <w:b/>
                <w:bCs/>
              </w:rPr>
            </w:pPr>
            <w:r>
              <w:rPr>
                <w:b/>
                <w:bCs/>
              </w:rPr>
              <w:t>Mediana</w:t>
            </w:r>
          </w:p>
        </w:tc>
        <w:tc>
          <w:tcPr>
            <w:tcW w:w="1424" w:type="dxa"/>
            <w:tcBorders>
              <w:top w:val="single" w:sz="4" w:space="0" w:color="000000"/>
              <w:left w:val="single" w:sz="4" w:space="0" w:color="000000"/>
              <w:bottom w:val="single" w:sz="4" w:space="0" w:color="000000"/>
            </w:tcBorders>
            <w:vAlign w:val="center"/>
          </w:tcPr>
          <w:p>
            <w:pPr>
              <w:pStyle w:val="Contedodatabela"/>
              <w:ind w:hanging="0"/>
              <w:jc w:val="center"/>
              <w:rPr>
                <w:b/>
                <w:bCs/>
              </w:rPr>
            </w:pPr>
            <w:r>
              <w:rPr>
                <w:b/>
                <w:bCs/>
              </w:rPr>
              <w:t>Desvio-padrão</w:t>
            </w:r>
          </w:p>
        </w:tc>
        <w:tc>
          <w:tcPr>
            <w:tcW w:w="1425" w:type="dxa"/>
            <w:tcBorders>
              <w:top w:val="single" w:sz="4" w:space="0" w:color="000000"/>
              <w:left w:val="single" w:sz="4" w:space="0" w:color="000000"/>
              <w:bottom w:val="single" w:sz="4" w:space="0" w:color="000000"/>
            </w:tcBorders>
            <w:vAlign w:val="center"/>
          </w:tcPr>
          <w:p>
            <w:pPr>
              <w:pStyle w:val="Contedodatabela"/>
              <w:ind w:hanging="0"/>
              <w:jc w:val="center"/>
              <w:rPr>
                <w:b/>
                <w:bCs/>
              </w:rPr>
            </w:pPr>
            <w:r>
              <w:rPr>
                <w:b/>
                <w:bCs/>
              </w:rPr>
              <w:t>Mínimo</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Contedodatabela"/>
              <w:ind w:hanging="0"/>
              <w:jc w:val="center"/>
              <w:rPr>
                <w:b/>
                <w:bCs/>
              </w:rPr>
            </w:pPr>
            <w:r>
              <w:rPr>
                <w:b/>
                <w:bCs/>
              </w:rPr>
              <w:t>Máximo</w:t>
            </w:r>
          </w:p>
        </w:tc>
      </w:tr>
      <w:tr>
        <w:trPr/>
        <w:tc>
          <w:tcPr>
            <w:tcW w:w="1424" w:type="dxa"/>
            <w:tcBorders>
              <w:left w:val="single" w:sz="4" w:space="0" w:color="000000"/>
              <w:bottom w:val="single" w:sz="4" w:space="0" w:color="000000"/>
            </w:tcBorders>
          </w:tcPr>
          <w:p>
            <w:pPr>
              <w:pStyle w:val="Contedodatabela"/>
              <w:ind w:hanging="0"/>
              <w:jc w:val="center"/>
              <w:rPr/>
            </w:pPr>
            <w:r>
              <w:rPr/>
              <w:t>premio_10</w:t>
            </w:r>
          </w:p>
        </w:tc>
        <w:tc>
          <w:tcPr>
            <w:tcW w:w="1425" w:type="dxa"/>
            <w:tcBorders>
              <w:left w:val="single" w:sz="4" w:space="0" w:color="000000"/>
              <w:bottom w:val="single" w:sz="4" w:space="0" w:color="000000"/>
            </w:tcBorders>
          </w:tcPr>
          <w:p>
            <w:pPr>
              <w:pStyle w:val="Contedodatabela"/>
              <w:ind w:hanging="0"/>
              <w:jc w:val="center"/>
              <w:rPr/>
            </w:pPr>
            <w:r>
              <w:rPr/>
              <w:t>188</w:t>
            </w:r>
          </w:p>
        </w:tc>
        <w:tc>
          <w:tcPr>
            <w:tcW w:w="1424" w:type="dxa"/>
            <w:tcBorders>
              <w:left w:val="single" w:sz="4" w:space="0" w:color="000000"/>
              <w:bottom w:val="single" w:sz="4" w:space="0" w:color="000000"/>
            </w:tcBorders>
          </w:tcPr>
          <w:p>
            <w:pPr>
              <w:pStyle w:val="Contedodatabela"/>
              <w:ind w:hanging="0"/>
              <w:jc w:val="center"/>
              <w:rPr/>
            </w:pPr>
            <w:r>
              <w:rPr/>
              <w:t>5,41</w:t>
            </w:r>
          </w:p>
        </w:tc>
        <w:tc>
          <w:tcPr>
            <w:tcW w:w="1425" w:type="dxa"/>
            <w:tcBorders>
              <w:left w:val="single" w:sz="4" w:space="0" w:color="000000"/>
              <w:bottom w:val="single" w:sz="4" w:space="0" w:color="000000"/>
            </w:tcBorders>
          </w:tcPr>
          <w:p>
            <w:pPr>
              <w:pStyle w:val="Contedodatabela"/>
              <w:ind w:hanging="0"/>
              <w:jc w:val="center"/>
              <w:rPr/>
            </w:pPr>
            <w:r>
              <w:rPr/>
              <w:t>5,63</w:t>
            </w:r>
          </w:p>
        </w:tc>
        <w:tc>
          <w:tcPr>
            <w:tcW w:w="1424" w:type="dxa"/>
            <w:tcBorders>
              <w:left w:val="single" w:sz="4" w:space="0" w:color="000000"/>
              <w:bottom w:val="single" w:sz="4" w:space="0" w:color="000000"/>
            </w:tcBorders>
          </w:tcPr>
          <w:p>
            <w:pPr>
              <w:pStyle w:val="Contedodatabela"/>
              <w:ind w:hanging="0"/>
              <w:jc w:val="center"/>
              <w:rPr/>
            </w:pPr>
            <w:r>
              <w:rPr/>
              <w:t>1,22</w:t>
            </w:r>
          </w:p>
        </w:tc>
        <w:tc>
          <w:tcPr>
            <w:tcW w:w="1425" w:type="dxa"/>
            <w:tcBorders>
              <w:left w:val="single" w:sz="4" w:space="0" w:color="000000"/>
              <w:bottom w:val="single" w:sz="4" w:space="0" w:color="000000"/>
            </w:tcBorders>
          </w:tcPr>
          <w:p>
            <w:pPr>
              <w:pStyle w:val="Contedodatabela"/>
              <w:ind w:hanging="0"/>
              <w:jc w:val="center"/>
              <w:rPr/>
            </w:pPr>
            <w:r>
              <w:rPr/>
              <w:t>2,66</w:t>
            </w:r>
          </w:p>
        </w:tc>
        <w:tc>
          <w:tcPr>
            <w:tcW w:w="1425" w:type="dxa"/>
            <w:tcBorders>
              <w:left w:val="single" w:sz="4" w:space="0" w:color="000000"/>
              <w:bottom w:val="single" w:sz="4" w:space="0" w:color="000000"/>
              <w:right w:val="single" w:sz="4" w:space="0" w:color="000000"/>
            </w:tcBorders>
          </w:tcPr>
          <w:p>
            <w:pPr>
              <w:pStyle w:val="Contedodatabela"/>
              <w:ind w:hanging="0"/>
              <w:jc w:val="center"/>
              <w:rPr/>
            </w:pPr>
            <w:r>
              <w:rPr/>
              <w:t>7,64</w:t>
            </w:r>
          </w:p>
        </w:tc>
      </w:tr>
      <w:tr>
        <w:trPr/>
        <w:tc>
          <w:tcPr>
            <w:tcW w:w="1424" w:type="dxa"/>
            <w:tcBorders>
              <w:left w:val="single" w:sz="4" w:space="0" w:color="000000"/>
              <w:bottom w:val="single" w:sz="4" w:space="0" w:color="000000"/>
            </w:tcBorders>
          </w:tcPr>
          <w:p>
            <w:pPr>
              <w:pStyle w:val="Contedodatabela"/>
              <w:ind w:hanging="0"/>
              <w:jc w:val="center"/>
              <w:rPr/>
            </w:pPr>
            <w:r>
              <w:rPr/>
              <w:t>inclinacao</w:t>
            </w:r>
          </w:p>
        </w:tc>
        <w:tc>
          <w:tcPr>
            <w:tcW w:w="1425" w:type="dxa"/>
            <w:tcBorders>
              <w:left w:val="single" w:sz="4" w:space="0" w:color="000000"/>
              <w:bottom w:val="single" w:sz="4" w:space="0" w:color="000000"/>
            </w:tcBorders>
          </w:tcPr>
          <w:p>
            <w:pPr>
              <w:pStyle w:val="Contedodatabela"/>
              <w:ind w:hanging="0"/>
              <w:jc w:val="center"/>
              <w:rPr/>
            </w:pPr>
            <w:r>
              <w:rPr/>
              <w:t>166</w:t>
            </w:r>
          </w:p>
        </w:tc>
        <w:tc>
          <w:tcPr>
            <w:tcW w:w="1424" w:type="dxa"/>
            <w:tcBorders>
              <w:left w:val="single" w:sz="4" w:space="0" w:color="000000"/>
              <w:bottom w:val="single" w:sz="4" w:space="0" w:color="000000"/>
            </w:tcBorders>
          </w:tcPr>
          <w:p>
            <w:pPr>
              <w:pStyle w:val="Contedodatabela"/>
              <w:ind w:hanging="0"/>
              <w:jc w:val="center"/>
              <w:rPr/>
            </w:pPr>
            <w:r>
              <w:rPr/>
              <w:t>0,41</w:t>
            </w:r>
          </w:p>
        </w:tc>
        <w:tc>
          <w:tcPr>
            <w:tcW w:w="1425" w:type="dxa"/>
            <w:tcBorders>
              <w:left w:val="single" w:sz="4" w:space="0" w:color="000000"/>
              <w:bottom w:val="single" w:sz="4" w:space="0" w:color="000000"/>
            </w:tcBorders>
          </w:tcPr>
          <w:p>
            <w:pPr>
              <w:pStyle w:val="Contedodatabela"/>
              <w:ind w:hanging="0"/>
              <w:jc w:val="center"/>
              <w:rPr/>
            </w:pPr>
            <w:r>
              <w:rPr/>
              <w:t>0,40</w:t>
            </w:r>
          </w:p>
        </w:tc>
        <w:tc>
          <w:tcPr>
            <w:tcW w:w="1424" w:type="dxa"/>
            <w:tcBorders>
              <w:left w:val="single" w:sz="4" w:space="0" w:color="000000"/>
              <w:bottom w:val="single" w:sz="4" w:space="0" w:color="000000"/>
            </w:tcBorders>
          </w:tcPr>
          <w:p>
            <w:pPr>
              <w:pStyle w:val="Contedodatabela"/>
              <w:ind w:hanging="0"/>
              <w:jc w:val="center"/>
              <w:rPr/>
            </w:pPr>
            <w:r>
              <w:rPr/>
              <w:t>0,60</w:t>
            </w:r>
          </w:p>
        </w:tc>
        <w:tc>
          <w:tcPr>
            <w:tcW w:w="1425" w:type="dxa"/>
            <w:tcBorders>
              <w:left w:val="single" w:sz="4" w:space="0" w:color="000000"/>
              <w:bottom w:val="single" w:sz="4" w:space="0" w:color="000000"/>
            </w:tcBorders>
          </w:tcPr>
          <w:p>
            <w:pPr>
              <w:pStyle w:val="Contedodatabela"/>
              <w:ind w:hanging="0"/>
              <w:jc w:val="center"/>
              <w:rPr/>
            </w:pPr>
            <w:r>
              <w:rPr/>
              <w:t>-</w:t>
            </w:r>
            <w:r>
              <w:rPr/>
              <w:t>0,76</w:t>
            </w:r>
          </w:p>
        </w:tc>
        <w:tc>
          <w:tcPr>
            <w:tcW w:w="1425" w:type="dxa"/>
            <w:tcBorders>
              <w:left w:val="single" w:sz="4" w:space="0" w:color="000000"/>
              <w:bottom w:val="single" w:sz="4" w:space="0" w:color="000000"/>
              <w:right w:val="single" w:sz="4" w:space="0" w:color="000000"/>
            </w:tcBorders>
          </w:tcPr>
          <w:p>
            <w:pPr>
              <w:pStyle w:val="Contedodatabela"/>
              <w:ind w:hanging="0"/>
              <w:jc w:val="center"/>
              <w:rPr/>
            </w:pPr>
            <w:r>
              <w:rPr/>
              <w:t>1,88</w:t>
            </w:r>
          </w:p>
        </w:tc>
      </w:tr>
      <w:tr>
        <w:trPr/>
        <w:tc>
          <w:tcPr>
            <w:tcW w:w="1424" w:type="dxa"/>
            <w:tcBorders>
              <w:left w:val="single" w:sz="4" w:space="0" w:color="000000"/>
              <w:bottom w:val="single" w:sz="4" w:space="0" w:color="000000"/>
            </w:tcBorders>
          </w:tcPr>
          <w:p>
            <w:pPr>
              <w:pStyle w:val="Contedodatabela"/>
              <w:ind w:hanging="0"/>
              <w:jc w:val="center"/>
              <w:rPr/>
            </w:pPr>
            <w:r>
              <w:rPr/>
              <w:t>selic</w:t>
            </w:r>
          </w:p>
        </w:tc>
        <w:tc>
          <w:tcPr>
            <w:tcW w:w="1425" w:type="dxa"/>
            <w:tcBorders>
              <w:left w:val="single" w:sz="4" w:space="0" w:color="000000"/>
              <w:bottom w:val="single" w:sz="4" w:space="0" w:color="000000"/>
            </w:tcBorders>
          </w:tcPr>
          <w:p>
            <w:pPr>
              <w:pStyle w:val="Contedodatabela"/>
              <w:ind w:hanging="0"/>
              <w:jc w:val="center"/>
              <w:rPr/>
            </w:pPr>
            <w:r>
              <w:rPr/>
              <w:t>188</w:t>
            </w:r>
          </w:p>
        </w:tc>
        <w:tc>
          <w:tcPr>
            <w:tcW w:w="1424" w:type="dxa"/>
            <w:tcBorders>
              <w:left w:val="single" w:sz="4" w:space="0" w:color="000000"/>
              <w:bottom w:val="single" w:sz="4" w:space="0" w:color="000000"/>
            </w:tcBorders>
          </w:tcPr>
          <w:p>
            <w:pPr>
              <w:pStyle w:val="Contedodatabela"/>
              <w:ind w:hanging="0"/>
              <w:jc w:val="center"/>
              <w:rPr/>
            </w:pPr>
            <w:r>
              <w:rPr/>
              <w:t>0,78</w:t>
            </w:r>
          </w:p>
        </w:tc>
        <w:tc>
          <w:tcPr>
            <w:tcW w:w="1425" w:type="dxa"/>
            <w:tcBorders>
              <w:left w:val="single" w:sz="4" w:space="0" w:color="000000"/>
              <w:bottom w:val="single" w:sz="4" w:space="0" w:color="000000"/>
            </w:tcBorders>
          </w:tcPr>
          <w:p>
            <w:pPr>
              <w:pStyle w:val="Contedodatabela"/>
              <w:ind w:hanging="0"/>
              <w:jc w:val="center"/>
              <w:rPr/>
            </w:pPr>
            <w:r>
              <w:rPr/>
              <w:t>0,83</w:t>
            </w:r>
          </w:p>
        </w:tc>
        <w:tc>
          <w:tcPr>
            <w:tcW w:w="1424" w:type="dxa"/>
            <w:tcBorders>
              <w:left w:val="single" w:sz="4" w:space="0" w:color="000000"/>
              <w:bottom w:val="single" w:sz="4" w:space="0" w:color="000000"/>
            </w:tcBorders>
          </w:tcPr>
          <w:p>
            <w:pPr>
              <w:pStyle w:val="Contedodatabela"/>
              <w:ind w:hanging="0"/>
              <w:jc w:val="center"/>
              <w:rPr/>
            </w:pPr>
            <w:r>
              <w:rPr/>
              <w:t>0,28</w:t>
            </w:r>
          </w:p>
        </w:tc>
        <w:tc>
          <w:tcPr>
            <w:tcW w:w="1425" w:type="dxa"/>
            <w:tcBorders>
              <w:left w:val="single" w:sz="4" w:space="0" w:color="000000"/>
              <w:bottom w:val="single" w:sz="4" w:space="0" w:color="000000"/>
            </w:tcBorders>
          </w:tcPr>
          <w:p>
            <w:pPr>
              <w:pStyle w:val="Contedodatabela"/>
              <w:ind w:hanging="0"/>
              <w:jc w:val="center"/>
              <w:rPr/>
            </w:pPr>
            <w:r>
              <w:rPr/>
              <w:t>0,13</w:t>
            </w:r>
          </w:p>
        </w:tc>
        <w:tc>
          <w:tcPr>
            <w:tcW w:w="1425" w:type="dxa"/>
            <w:tcBorders>
              <w:left w:val="single" w:sz="4" w:space="0" w:color="000000"/>
              <w:bottom w:val="single" w:sz="4" w:space="0" w:color="000000"/>
              <w:right w:val="single" w:sz="4" w:space="0" w:color="000000"/>
            </w:tcBorders>
          </w:tcPr>
          <w:p>
            <w:pPr>
              <w:pStyle w:val="Contedodatabela"/>
              <w:ind w:hanging="0"/>
              <w:jc w:val="center"/>
              <w:rPr/>
            </w:pPr>
            <w:r>
              <w:rPr/>
              <w:t>1,28</w:t>
            </w:r>
          </w:p>
        </w:tc>
      </w:tr>
      <w:tr>
        <w:trPr/>
        <w:tc>
          <w:tcPr>
            <w:tcW w:w="1424" w:type="dxa"/>
            <w:tcBorders>
              <w:left w:val="single" w:sz="4" w:space="0" w:color="000000"/>
              <w:bottom w:val="single" w:sz="4" w:space="0" w:color="000000"/>
            </w:tcBorders>
          </w:tcPr>
          <w:p>
            <w:pPr>
              <w:pStyle w:val="Contedodatabela"/>
              <w:ind w:hanging="0"/>
              <w:jc w:val="center"/>
              <w:rPr/>
            </w:pPr>
            <w:r>
              <w:rPr/>
              <w:t>ipca</w:t>
            </w:r>
          </w:p>
        </w:tc>
        <w:tc>
          <w:tcPr>
            <w:tcW w:w="1425" w:type="dxa"/>
            <w:tcBorders>
              <w:left w:val="single" w:sz="4" w:space="0" w:color="000000"/>
              <w:bottom w:val="single" w:sz="4" w:space="0" w:color="000000"/>
            </w:tcBorders>
          </w:tcPr>
          <w:p>
            <w:pPr>
              <w:pStyle w:val="Contedodatabela"/>
              <w:ind w:hanging="0"/>
              <w:jc w:val="center"/>
              <w:rPr/>
            </w:pPr>
            <w:r>
              <w:rPr/>
              <w:t>188</w:t>
            </w:r>
          </w:p>
        </w:tc>
        <w:tc>
          <w:tcPr>
            <w:tcW w:w="1424" w:type="dxa"/>
            <w:tcBorders>
              <w:left w:val="single" w:sz="4" w:space="0" w:color="000000"/>
              <w:bottom w:val="single" w:sz="4" w:space="0" w:color="000000"/>
            </w:tcBorders>
          </w:tcPr>
          <w:p>
            <w:pPr>
              <w:pStyle w:val="Contedodatabela"/>
              <w:ind w:hanging="0"/>
              <w:jc w:val="center"/>
              <w:rPr/>
            </w:pPr>
            <w:r>
              <w:rPr/>
              <w:t>0,47</w:t>
            </w:r>
          </w:p>
        </w:tc>
        <w:tc>
          <w:tcPr>
            <w:tcW w:w="1425" w:type="dxa"/>
            <w:tcBorders>
              <w:left w:val="single" w:sz="4" w:space="0" w:color="000000"/>
              <w:bottom w:val="single" w:sz="4" w:space="0" w:color="000000"/>
            </w:tcBorders>
          </w:tcPr>
          <w:p>
            <w:pPr>
              <w:pStyle w:val="Contedodatabela"/>
              <w:ind w:hanging="0"/>
              <w:jc w:val="center"/>
              <w:rPr/>
            </w:pPr>
            <w:r>
              <w:rPr/>
              <w:t>0,44</w:t>
            </w:r>
          </w:p>
        </w:tc>
        <w:tc>
          <w:tcPr>
            <w:tcW w:w="1424" w:type="dxa"/>
            <w:tcBorders>
              <w:left w:val="single" w:sz="4" w:space="0" w:color="000000"/>
              <w:bottom w:val="single" w:sz="4" w:space="0" w:color="000000"/>
            </w:tcBorders>
          </w:tcPr>
          <w:p>
            <w:pPr>
              <w:pStyle w:val="Contedodatabela"/>
              <w:ind w:hanging="0"/>
              <w:jc w:val="center"/>
              <w:rPr/>
            </w:pPr>
            <w:r>
              <w:rPr/>
              <w:t>0,36</w:t>
            </w:r>
          </w:p>
        </w:tc>
        <w:tc>
          <w:tcPr>
            <w:tcW w:w="1425" w:type="dxa"/>
            <w:tcBorders>
              <w:left w:val="single" w:sz="4" w:space="0" w:color="000000"/>
              <w:bottom w:val="single" w:sz="4" w:space="0" w:color="000000"/>
            </w:tcBorders>
          </w:tcPr>
          <w:p>
            <w:pPr>
              <w:pStyle w:val="Contedodatabela"/>
              <w:ind w:hanging="0"/>
              <w:jc w:val="center"/>
              <w:rPr/>
            </w:pPr>
            <w:r>
              <w:rPr/>
              <w:t>-</w:t>
            </w:r>
            <w:r>
              <w:rPr/>
              <w:t>0,68</w:t>
            </w:r>
          </w:p>
        </w:tc>
        <w:tc>
          <w:tcPr>
            <w:tcW w:w="1425" w:type="dxa"/>
            <w:tcBorders>
              <w:left w:val="single" w:sz="4" w:space="0" w:color="000000"/>
              <w:bottom w:val="single" w:sz="4" w:space="0" w:color="000000"/>
              <w:right w:val="single" w:sz="4" w:space="0" w:color="000000"/>
            </w:tcBorders>
          </w:tcPr>
          <w:p>
            <w:pPr>
              <w:pStyle w:val="Contedodatabela"/>
              <w:ind w:hanging="0"/>
              <w:jc w:val="center"/>
              <w:rPr/>
            </w:pPr>
            <w:r>
              <w:rPr/>
              <w:t>1,62</w:t>
            </w:r>
          </w:p>
        </w:tc>
      </w:tr>
      <w:tr>
        <w:trPr/>
        <w:tc>
          <w:tcPr>
            <w:tcW w:w="1424" w:type="dxa"/>
            <w:tcBorders>
              <w:left w:val="single" w:sz="4" w:space="0" w:color="000000"/>
              <w:bottom w:val="single" w:sz="4" w:space="0" w:color="000000"/>
            </w:tcBorders>
          </w:tcPr>
          <w:p>
            <w:pPr>
              <w:pStyle w:val="Contedodatabela"/>
              <w:ind w:hanging="0"/>
              <w:jc w:val="center"/>
              <w:rPr/>
            </w:pPr>
            <w:r>
              <w:rPr/>
              <w:t>cambio</w:t>
            </w:r>
          </w:p>
        </w:tc>
        <w:tc>
          <w:tcPr>
            <w:tcW w:w="1425" w:type="dxa"/>
            <w:tcBorders>
              <w:left w:val="single" w:sz="4" w:space="0" w:color="000000"/>
              <w:bottom w:val="single" w:sz="4" w:space="0" w:color="000000"/>
            </w:tcBorders>
          </w:tcPr>
          <w:p>
            <w:pPr>
              <w:pStyle w:val="Contedodatabela"/>
              <w:ind w:hanging="0"/>
              <w:jc w:val="center"/>
              <w:rPr/>
            </w:pPr>
            <w:r>
              <w:rPr/>
              <w:t>188</w:t>
            </w:r>
          </w:p>
        </w:tc>
        <w:tc>
          <w:tcPr>
            <w:tcW w:w="1424" w:type="dxa"/>
            <w:tcBorders>
              <w:left w:val="single" w:sz="4" w:space="0" w:color="000000"/>
              <w:bottom w:val="single" w:sz="4" w:space="0" w:color="000000"/>
            </w:tcBorders>
          </w:tcPr>
          <w:p>
            <w:pPr>
              <w:pStyle w:val="Contedodatabela"/>
              <w:ind w:hanging="0"/>
              <w:jc w:val="center"/>
              <w:rPr/>
            </w:pPr>
            <w:r>
              <w:rPr/>
              <w:t>3,74</w:t>
            </w:r>
          </w:p>
        </w:tc>
        <w:tc>
          <w:tcPr>
            <w:tcW w:w="1425" w:type="dxa"/>
            <w:tcBorders>
              <w:left w:val="single" w:sz="4" w:space="0" w:color="000000"/>
              <w:bottom w:val="single" w:sz="4" w:space="0" w:color="000000"/>
            </w:tcBorders>
          </w:tcPr>
          <w:p>
            <w:pPr>
              <w:pStyle w:val="Contedodatabela"/>
              <w:ind w:hanging="0"/>
              <w:jc w:val="center"/>
              <w:rPr/>
            </w:pPr>
            <w:r>
              <w:rPr/>
              <w:t>3,77</w:t>
            </w:r>
          </w:p>
        </w:tc>
        <w:tc>
          <w:tcPr>
            <w:tcW w:w="1424" w:type="dxa"/>
            <w:tcBorders>
              <w:left w:val="single" w:sz="4" w:space="0" w:color="000000"/>
              <w:bottom w:val="single" w:sz="4" w:space="0" w:color="000000"/>
            </w:tcBorders>
          </w:tcPr>
          <w:p>
            <w:pPr>
              <w:pStyle w:val="Contedodatabela"/>
              <w:ind w:hanging="0"/>
              <w:jc w:val="center"/>
              <w:rPr/>
            </w:pPr>
            <w:r>
              <w:rPr/>
              <w:t>1,40</w:t>
            </w:r>
          </w:p>
        </w:tc>
        <w:tc>
          <w:tcPr>
            <w:tcW w:w="1425" w:type="dxa"/>
            <w:tcBorders>
              <w:left w:val="single" w:sz="4" w:space="0" w:color="000000"/>
              <w:bottom w:val="single" w:sz="4" w:space="0" w:color="000000"/>
            </w:tcBorders>
          </w:tcPr>
          <w:p>
            <w:pPr>
              <w:pStyle w:val="Contedodatabela"/>
              <w:ind w:hanging="0"/>
              <w:jc w:val="center"/>
              <w:rPr/>
            </w:pPr>
            <w:r>
              <w:rPr/>
              <w:t>1,56</w:t>
            </w:r>
          </w:p>
        </w:tc>
        <w:tc>
          <w:tcPr>
            <w:tcW w:w="1425" w:type="dxa"/>
            <w:tcBorders>
              <w:left w:val="single" w:sz="4" w:space="0" w:color="000000"/>
              <w:bottom w:val="single" w:sz="4" w:space="0" w:color="000000"/>
              <w:right w:val="single" w:sz="4" w:space="0" w:color="000000"/>
            </w:tcBorders>
          </w:tcPr>
          <w:p>
            <w:pPr>
              <w:pStyle w:val="Contedodatabela"/>
              <w:ind w:hanging="0"/>
              <w:jc w:val="center"/>
              <w:rPr/>
            </w:pPr>
            <w:r>
              <w:rPr/>
              <w:t>6,10</w:t>
            </w:r>
          </w:p>
        </w:tc>
      </w:tr>
    </w:tbl>
    <w:p>
      <w:pPr>
        <w:pStyle w:val="Normal"/>
        <w:spacing w:lineRule="exact" w:line="360" w:before="0" w:after="120"/>
        <w:ind w:hanging="0"/>
        <w:jc w:val="center"/>
        <w:rPr>
          <w:rFonts w:ascii="Arial" w:hAnsi="Arial" w:eastAsia="Arial" w:cs="Arial"/>
          <w:i w:val="false"/>
          <w:i w:val="false"/>
          <w:iCs w:val="false"/>
          <w:sz w:val="22"/>
          <w:szCs w:val="22"/>
        </w:rPr>
      </w:pPr>
      <w:r>
        <w:rPr>
          <w:b/>
          <w:bCs/>
        </w:rPr>
      </w:r>
    </w:p>
    <w:p>
      <w:pPr>
        <w:pStyle w:val="Normal"/>
        <w:spacing w:lineRule="exact" w:line="360" w:before="0" w:after="120"/>
        <w:jc w:val="both"/>
        <w:rPr>
          <w:rFonts w:ascii="Arial" w:hAnsi="Arial" w:eastAsia="Arial" w:cs="Arial"/>
          <w:b w:val="false"/>
          <w:bCs w:val="false"/>
          <w:i w:val="false"/>
          <w:i w:val="false"/>
          <w:iCs w:val="false"/>
          <w:sz w:val="22"/>
          <w:szCs w:val="22"/>
        </w:rPr>
      </w:pPr>
      <w:r>
        <w:rPr/>
      </w:r>
    </w:p>
    <w:p>
      <w:pPr>
        <w:pStyle w:val="Normal"/>
        <w:spacing w:lineRule="exact" w:line="360" w:before="0" w:after="120"/>
        <w:jc w:val="center"/>
        <w:rPr>
          <w:b/>
          <w:bCs/>
          <w:highlight w:val="none"/>
          <w:shd w:fill="auto" w:val="clear"/>
        </w:rPr>
      </w:pPr>
      <w:r>
        <w:rPr>
          <w:rFonts w:eastAsia="Arial" w:cs="Arial"/>
          <w:b/>
          <w:bCs/>
          <w:i w:val="false"/>
          <w:iCs w:val="false"/>
          <w:sz w:val="22"/>
          <w:szCs w:val="22"/>
          <w:shd w:fill="auto" w:val="clear"/>
        </w:rPr>
        <w:t>Figura 1 –</w:t>
      </w:r>
      <w:r>
        <w:rPr>
          <w:rFonts w:eastAsia="Arial" w:cs="Arial"/>
          <w:b/>
          <w:bCs/>
          <w:i w:val="false"/>
          <w:iCs w:val="false"/>
          <w:sz w:val="22"/>
          <w:szCs w:val="22"/>
          <w:shd w:fill="auto" w:val="clear"/>
        </w:rPr>
        <w:t xml:space="preserve"> </w:t>
      </w:r>
      <w:r>
        <w:rPr>
          <w:rFonts w:eastAsia="Arial" w:cs="Arial"/>
          <w:b/>
          <w:bCs/>
          <w:i w:val="false"/>
          <w:iCs w:val="false"/>
          <w:sz w:val="22"/>
          <w:szCs w:val="22"/>
          <w:shd w:fill="auto" w:val="clear"/>
        </w:rPr>
        <w:t xml:space="preserve">Comportamento do premio_10 e da Inclinação </w:t>
      </w:r>
      <w:r>
        <w:rPr>
          <w:rFonts w:eastAsia="Arial" w:cs="Arial"/>
          <w:b/>
          <w:bCs/>
          <w:i w:val="false"/>
          <w:iCs w:val="false"/>
          <w:sz w:val="22"/>
          <w:szCs w:val="22"/>
          <w:shd w:fill="auto" w:val="clear"/>
        </w:rPr>
        <w:t>no tempo</w:t>
      </w:r>
    </w:p>
    <w:p>
      <w:pPr>
        <w:pStyle w:val="Normal"/>
        <w:spacing w:lineRule="exact" w:line="360" w:before="0" w:after="120"/>
        <w:jc w:val="both"/>
        <w:rPr>
          <w:rFonts w:ascii="Arial" w:hAnsi="Arial" w:eastAsia="Arial" w:cs="Arial"/>
          <w:i w:val="false"/>
          <w:i w:val="false"/>
          <w:iCs w:val="false"/>
          <w:sz w:val="22"/>
          <w:szCs w:val="22"/>
        </w:rPr>
      </w:pPr>
      <w:r>
        <w:rPr>
          <w:b w:val="false"/>
          <w:bCs w:val="false"/>
          <w:shd w:fill="FFFF00" w:val="clea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67095" cy="5114925"/>
            <wp:effectExtent l="0" t="0" r="0" b="0"/>
            <wp:wrapSquare wrapText="largest"/>
            <wp:docPr id="1"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descr=""/>
                    <pic:cNvPicPr>
                      <a:picLocks noChangeAspect="1" noChangeArrowheads="1"/>
                    </pic:cNvPicPr>
                  </pic:nvPicPr>
                  <pic:blipFill>
                    <a:blip r:embed="rId2"/>
                    <a:stretch>
                      <a:fillRect/>
                    </a:stretch>
                  </pic:blipFill>
                  <pic:spPr bwMode="auto">
                    <a:xfrm>
                      <a:off x="0" y="0"/>
                      <a:ext cx="5967095" cy="5114925"/>
                    </a:xfrm>
                    <a:prstGeom prst="rect">
                      <a:avLst/>
                    </a:prstGeom>
                  </pic:spPr>
                </pic:pic>
              </a:graphicData>
            </a:graphic>
          </wp:anchor>
        </w:drawing>
      </w:r>
    </w:p>
    <w:p>
      <w:pPr>
        <w:pStyle w:val="Normal"/>
        <w:spacing w:lineRule="exact" w:line="360" w:before="0" w:after="120"/>
        <w:ind w:hanging="0"/>
        <w:jc w:val="both"/>
        <w:rPr/>
      </w:pPr>
      <w:r>
        <w:rPr>
          <w:rFonts w:eastAsia="Arial" w:cs="Arial"/>
          <w:b/>
          <w:bCs/>
          <w:i w:val="false"/>
          <w:iCs w:val="false"/>
          <w:sz w:val="22"/>
          <w:szCs w:val="22"/>
        </w:rPr>
        <w:t xml:space="preserve">3.2 </w:t>
      </w:r>
      <w:r>
        <w:rPr>
          <w:rFonts w:eastAsia="Arial" w:cs="Arial"/>
          <w:b/>
          <w:bCs/>
          <w:i w:val="false"/>
          <w:iCs w:val="false"/>
          <w:sz w:val="22"/>
          <w:szCs w:val="22"/>
        </w:rPr>
        <w:t xml:space="preserve">Correlações </w:t>
      </w:r>
      <w:r>
        <w:rPr>
          <w:rFonts w:eastAsia="Arial" w:cs="Arial"/>
          <w:b/>
          <w:bCs/>
          <w:i w:val="false"/>
          <w:iCs w:val="false"/>
          <w:sz w:val="22"/>
          <w:szCs w:val="22"/>
        </w:rPr>
        <w:t>(r de Pearson)</w:t>
      </w:r>
      <w:r>
        <w:rPr>
          <w:rFonts w:eastAsia="Arial" w:cs="Arial"/>
          <w:b/>
          <w:bCs/>
          <w:i w:val="false"/>
          <w:iCs w:val="false"/>
          <w:sz w:val="22"/>
          <w:szCs w:val="22"/>
        </w:rPr>
        <w:t>: nível versus diferenças</w:t>
      </w:r>
    </w:p>
    <w:p>
      <w:pPr>
        <w:pStyle w:val="Normal"/>
        <w:spacing w:lineRule="exact" w:line="360" w:before="0" w:after="120"/>
        <w:ind w:hanging="0"/>
        <w:jc w:val="both"/>
        <w:rPr/>
      </w:pPr>
      <w:r>
        <w:rPr>
          <w:rFonts w:eastAsia="Arial" w:cs="Arial"/>
          <w:b w:val="false"/>
          <w:bCs w:val="false"/>
          <w:i w:val="false"/>
          <w:iCs w:val="false"/>
          <w:sz w:val="22"/>
          <w:szCs w:val="22"/>
        </w:rPr>
        <w:t xml:space="preserve">  </w:t>
      </w:r>
      <w:r>
        <w:rPr>
          <w:rFonts w:eastAsia="Arial" w:cs="Arial"/>
          <w:b w:val="false"/>
          <w:bCs w:val="false"/>
          <w:i w:val="false"/>
          <w:iCs w:val="false"/>
          <w:sz w:val="22"/>
          <w:szCs w:val="22"/>
        </w:rPr>
        <w:t xml:space="preserve">Em nível, o prêmio de 10 anos correlaciona-se fortemente com a Selic (0,83) e negativamente com a inclinação (−0,81) </w:t>
      </w:r>
      <w:r>
        <w:rPr>
          <w:rFonts w:eastAsia="Arial" w:cs="Arial"/>
          <w:b w:val="false"/>
          <w:bCs w:val="false"/>
          <w:i w:val="false"/>
          <w:iCs w:val="false"/>
          <w:sz w:val="22"/>
          <w:szCs w:val="22"/>
        </w:rPr>
        <w:t>(</w:t>
      </w:r>
      <w:r>
        <w:rPr>
          <w:rFonts w:eastAsia="Arial" w:cs="Arial"/>
          <w:b/>
          <w:bCs/>
          <w:i w:val="false"/>
          <w:iCs w:val="false"/>
          <w:sz w:val="22"/>
          <w:szCs w:val="22"/>
        </w:rPr>
        <w:t>Tabela 3</w:t>
      </w:r>
      <w:r>
        <w:rPr>
          <w:rFonts w:eastAsia="Arial" w:cs="Arial"/>
          <w:b w:val="false"/>
          <w:bCs w:val="false"/>
          <w:i w:val="false"/>
          <w:iCs w:val="false"/>
          <w:sz w:val="22"/>
          <w:szCs w:val="22"/>
        </w:rPr>
        <w:t>)</w:t>
      </w:r>
      <w:r>
        <w:rPr>
          <w:rFonts w:eastAsia="Arial" w:cs="Arial"/>
          <w:b w:val="false"/>
          <w:bCs w:val="false"/>
          <w:i w:val="false"/>
          <w:iCs w:val="false"/>
          <w:sz w:val="22"/>
          <w:szCs w:val="22"/>
        </w:rPr>
        <w:t xml:space="preserve">. Contudo, parte dessas correlações é espúria. Ao recalcular </w:t>
      </w:r>
      <w:r>
        <w:rPr>
          <w:rFonts w:eastAsia="Arial" w:cs="Arial"/>
          <w:b w:val="false"/>
          <w:bCs w:val="false"/>
          <w:i w:val="false"/>
          <w:iCs w:val="false"/>
          <w:sz w:val="22"/>
          <w:szCs w:val="22"/>
        </w:rPr>
        <w:t>usando as</w:t>
      </w:r>
      <w:r>
        <w:rPr>
          <w:rFonts w:eastAsia="Arial" w:cs="Arial"/>
          <w:b w:val="false"/>
          <w:bCs w:val="false"/>
          <w:i w:val="false"/>
          <w:iCs w:val="false"/>
          <w:sz w:val="22"/>
          <w:szCs w:val="22"/>
        </w:rPr>
        <w:t xml:space="preserve"> variações mensais (</w:t>
      </w:r>
      <w:r>
        <w:rPr>
          <w:rFonts w:eastAsia="Arial" w:cs="Arial"/>
          <w:b w:val="false"/>
          <w:bCs w:val="false"/>
          <w:i w:val="false"/>
          <w:iCs w:val="false"/>
          <w:sz w:val="22"/>
          <w:szCs w:val="22"/>
        </w:rPr>
        <w:t xml:space="preserve">removem a tendência comum e tendem a ser </w:t>
      </w:r>
      <w:r>
        <w:rPr>
          <w:rFonts w:eastAsia="Arial" w:cs="Arial"/>
          <w:b w:val="false"/>
          <w:bCs w:val="false"/>
          <w:i w:val="false"/>
          <w:iCs w:val="false"/>
          <w:sz w:val="22"/>
          <w:szCs w:val="22"/>
        </w:rPr>
        <w:t xml:space="preserve">séries </w:t>
      </w:r>
      <w:r>
        <w:rPr>
          <w:rFonts w:eastAsia="Arial" w:cs="Arial"/>
          <w:b w:val="false"/>
          <w:bCs w:val="false"/>
          <w:i w:val="false"/>
          <w:iCs w:val="false"/>
          <w:sz w:val="22"/>
          <w:szCs w:val="22"/>
        </w:rPr>
        <w:t>mais próximas de</w:t>
      </w:r>
      <w:r>
        <w:rPr>
          <w:rFonts w:eastAsia="Arial" w:cs="Arial"/>
          <w:b w:val="false"/>
          <w:bCs w:val="false"/>
          <w:i w:val="false"/>
          <w:iCs w:val="false"/>
          <w:sz w:val="22"/>
          <w:szCs w:val="22"/>
        </w:rPr>
        <w:t xml:space="preserve"> estacionárias), a correlação com a Selic praticamente desaparece (0,02), indicando que o vínculo em nível decorria de tendências comuns. Em contrapartida, o câmbio, sem correlação aparente em nível (0,01), revela associação relevante nas variações (0,42): choques cambiais mensais </w:t>
      </w:r>
      <w:r>
        <w:rPr>
          <w:rFonts w:eastAsia="Arial" w:cs="Arial"/>
          <w:b w:val="false"/>
          <w:bCs w:val="false"/>
          <w:i w:val="false"/>
          <w:iCs w:val="false"/>
          <w:sz w:val="22"/>
          <w:szCs w:val="22"/>
        </w:rPr>
        <w:t>parecem elevar</w:t>
      </w:r>
      <w:r>
        <w:rPr>
          <w:rFonts w:eastAsia="Arial" w:cs="Arial"/>
          <w:b w:val="false"/>
          <w:bCs w:val="false"/>
          <w:i w:val="false"/>
          <w:iCs w:val="false"/>
          <w:sz w:val="22"/>
          <w:szCs w:val="22"/>
        </w:rPr>
        <w:t xml:space="preserve"> o juro real exigido no mesmo mês. A relação com a inclinação encolhe, mas sobrevive (−0,38), sustentando que se trata de associação genuína, ainda que modesta.</w:t>
      </w:r>
    </w:p>
    <w:p>
      <w:pPr>
        <w:pStyle w:val="Normal"/>
        <w:spacing w:lineRule="exact" w:line="360" w:before="0" w:after="120"/>
        <w:jc w:val="both"/>
        <w:rPr>
          <w:rFonts w:ascii="Arial" w:hAnsi="Arial" w:eastAsia="Arial" w:cs="Arial"/>
          <w:b w:val="false"/>
          <w:bCs w:val="false"/>
          <w:i w:val="false"/>
          <w:i w:val="false"/>
          <w:iCs w:val="false"/>
          <w:sz w:val="22"/>
          <w:szCs w:val="22"/>
        </w:rPr>
      </w:pPr>
      <w:r>
        <w:rPr>
          <w:shd w:fill="FFFF00" w:val="clear"/>
        </w:rPr>
      </w:r>
    </w:p>
    <w:p>
      <w:pPr>
        <w:pStyle w:val="Normal"/>
        <w:spacing w:lineRule="exact" w:line="360" w:before="0" w:after="120"/>
        <w:jc w:val="center"/>
        <w:rPr>
          <w:b/>
          <w:bCs/>
          <w:highlight w:val="none"/>
          <w:shd w:fill="auto" w:val="clear"/>
        </w:rPr>
      </w:pPr>
      <w:r>
        <w:rPr>
          <w:rFonts w:eastAsia="Arial" w:cs="Arial"/>
          <w:b/>
          <w:bCs/>
          <w:i w:val="false"/>
          <w:iCs w:val="false"/>
          <w:sz w:val="22"/>
          <w:szCs w:val="22"/>
          <w:shd w:fill="auto" w:val="clear"/>
        </w:rPr>
        <w:t xml:space="preserve">Tabela </w:t>
      </w:r>
      <w:r>
        <w:rPr>
          <w:rFonts w:eastAsia="Arial" w:cs="Arial"/>
          <w:b/>
          <w:bCs/>
          <w:i w:val="false"/>
          <w:iCs w:val="false"/>
          <w:sz w:val="22"/>
          <w:szCs w:val="22"/>
          <w:shd w:fill="auto" w:val="clear"/>
        </w:rPr>
        <w:t>3</w:t>
      </w:r>
      <w:r>
        <w:rPr>
          <w:rFonts w:eastAsia="Arial" w:cs="Arial"/>
          <w:b/>
          <w:bCs/>
          <w:i w:val="false"/>
          <w:iCs w:val="false"/>
          <w:sz w:val="22"/>
          <w:szCs w:val="22"/>
          <w:shd w:fill="auto" w:val="clear"/>
        </w:rPr>
        <w:t xml:space="preserve"> – Correlação com o prêmio de 10 anos: nível vs. variações mensais</w:t>
      </w:r>
    </w:p>
    <w:tbl>
      <w:tblPr>
        <w:tblW w:w="5000" w:type="pct"/>
        <w:jc w:val="left"/>
        <w:tblInd w:w="-5" w:type="dxa"/>
        <w:tblLayout w:type="fixed"/>
        <w:tblCellMar>
          <w:top w:w="55" w:type="dxa"/>
          <w:left w:w="55" w:type="dxa"/>
          <w:bottom w:w="55" w:type="dxa"/>
          <w:right w:w="55" w:type="dxa"/>
        </w:tblCellMar>
      </w:tblPr>
      <w:tblGrid>
        <w:gridCol w:w="3324"/>
        <w:gridCol w:w="3324"/>
        <w:gridCol w:w="3324"/>
      </w:tblGrid>
      <w:tr>
        <w:trPr/>
        <w:tc>
          <w:tcPr>
            <w:tcW w:w="3324" w:type="dxa"/>
            <w:tcBorders>
              <w:top w:val="single" w:sz="4" w:space="0" w:color="000000"/>
              <w:left w:val="single" w:sz="4" w:space="0" w:color="000000"/>
              <w:bottom w:val="single" w:sz="4" w:space="0" w:color="000000"/>
            </w:tcBorders>
          </w:tcPr>
          <w:p>
            <w:pPr>
              <w:pStyle w:val="Contedodatabela"/>
              <w:jc w:val="center"/>
              <w:rPr>
                <w:b/>
                <w:bCs/>
              </w:rPr>
            </w:pPr>
            <w:r>
              <w:rPr>
                <w:b/>
                <w:bCs/>
              </w:rPr>
              <w:t>Variável</w:t>
            </w:r>
          </w:p>
        </w:tc>
        <w:tc>
          <w:tcPr>
            <w:tcW w:w="3324" w:type="dxa"/>
            <w:tcBorders>
              <w:top w:val="single" w:sz="4" w:space="0" w:color="000000"/>
              <w:left w:val="single" w:sz="4" w:space="0" w:color="000000"/>
              <w:bottom w:val="single" w:sz="4" w:space="0" w:color="000000"/>
            </w:tcBorders>
          </w:tcPr>
          <w:p>
            <w:pPr>
              <w:pStyle w:val="Contedodatabela"/>
              <w:jc w:val="center"/>
              <w:rPr>
                <w:b/>
                <w:bCs/>
              </w:rPr>
            </w:pPr>
            <w:r>
              <w:rPr>
                <w:b/>
                <w:bCs/>
              </w:rPr>
              <w:t>Correlação em nível</w:t>
            </w:r>
          </w:p>
        </w:tc>
        <w:tc>
          <w:tcPr>
            <w:tcW w:w="3324" w:type="dxa"/>
            <w:tcBorders>
              <w:top w:val="single" w:sz="4" w:space="0" w:color="000000"/>
              <w:left w:val="single" w:sz="4" w:space="0" w:color="000000"/>
              <w:bottom w:val="single" w:sz="4" w:space="0" w:color="000000"/>
              <w:right w:val="single" w:sz="4" w:space="0" w:color="000000"/>
            </w:tcBorders>
          </w:tcPr>
          <w:p>
            <w:pPr>
              <w:pStyle w:val="Contedodatabela"/>
              <w:jc w:val="center"/>
              <w:rPr>
                <w:b/>
                <w:bCs/>
              </w:rPr>
            </w:pPr>
            <w:r>
              <w:rPr>
                <w:b/>
                <w:bCs/>
              </w:rPr>
              <w:t>Correlação em variações</w:t>
            </w:r>
          </w:p>
        </w:tc>
      </w:tr>
      <w:tr>
        <w:trPr/>
        <w:tc>
          <w:tcPr>
            <w:tcW w:w="3324" w:type="dxa"/>
            <w:tcBorders>
              <w:left w:val="single" w:sz="4" w:space="0" w:color="000000"/>
              <w:bottom w:val="single" w:sz="4" w:space="0" w:color="000000"/>
            </w:tcBorders>
          </w:tcPr>
          <w:p>
            <w:pPr>
              <w:pStyle w:val="Contedodatabela"/>
              <w:jc w:val="center"/>
              <w:rPr/>
            </w:pPr>
            <w:r>
              <w:rPr/>
              <w:t>selic</w:t>
            </w:r>
          </w:p>
        </w:tc>
        <w:tc>
          <w:tcPr>
            <w:tcW w:w="3324" w:type="dxa"/>
            <w:tcBorders>
              <w:left w:val="single" w:sz="4" w:space="0" w:color="000000"/>
              <w:bottom w:val="single" w:sz="4" w:space="0" w:color="000000"/>
            </w:tcBorders>
          </w:tcPr>
          <w:p>
            <w:pPr>
              <w:pStyle w:val="Contedodatabela"/>
              <w:jc w:val="center"/>
              <w:rPr/>
            </w:pPr>
            <w:r>
              <w:rPr/>
              <w:t>0,83</w:t>
            </w:r>
          </w:p>
        </w:tc>
        <w:tc>
          <w:tcPr>
            <w:tcW w:w="3324" w:type="dxa"/>
            <w:tcBorders>
              <w:left w:val="single" w:sz="4" w:space="0" w:color="000000"/>
              <w:bottom w:val="single" w:sz="4" w:space="0" w:color="000000"/>
              <w:right w:val="single" w:sz="4" w:space="0" w:color="000000"/>
            </w:tcBorders>
          </w:tcPr>
          <w:p>
            <w:pPr>
              <w:pStyle w:val="Contedodatabela"/>
              <w:jc w:val="center"/>
              <w:rPr/>
            </w:pPr>
            <w:r>
              <w:rPr/>
              <w:t>0,02</w:t>
            </w:r>
          </w:p>
        </w:tc>
      </w:tr>
      <w:tr>
        <w:trPr/>
        <w:tc>
          <w:tcPr>
            <w:tcW w:w="3324" w:type="dxa"/>
            <w:tcBorders>
              <w:left w:val="single" w:sz="4" w:space="0" w:color="000000"/>
              <w:bottom w:val="single" w:sz="4" w:space="0" w:color="000000"/>
            </w:tcBorders>
          </w:tcPr>
          <w:p>
            <w:pPr>
              <w:pStyle w:val="Contedodatabela"/>
              <w:jc w:val="center"/>
              <w:rPr/>
            </w:pPr>
            <w:r>
              <w:rPr/>
              <w:t>inclinacao</w:t>
            </w:r>
          </w:p>
        </w:tc>
        <w:tc>
          <w:tcPr>
            <w:tcW w:w="3324" w:type="dxa"/>
            <w:tcBorders>
              <w:left w:val="single" w:sz="4" w:space="0" w:color="000000"/>
              <w:bottom w:val="single" w:sz="4" w:space="0" w:color="000000"/>
            </w:tcBorders>
          </w:tcPr>
          <w:p>
            <w:pPr>
              <w:pStyle w:val="Contedodatabela"/>
              <w:jc w:val="center"/>
              <w:rPr/>
            </w:pPr>
            <w:r>
              <w:rPr/>
              <w:t>-</w:t>
            </w:r>
            <w:r>
              <w:rPr/>
              <w:t>0,81</w:t>
            </w:r>
          </w:p>
        </w:tc>
        <w:tc>
          <w:tcPr>
            <w:tcW w:w="3324" w:type="dxa"/>
            <w:tcBorders>
              <w:left w:val="single" w:sz="4" w:space="0" w:color="000000"/>
              <w:bottom w:val="single" w:sz="4" w:space="0" w:color="000000"/>
              <w:right w:val="single" w:sz="4" w:space="0" w:color="000000"/>
            </w:tcBorders>
          </w:tcPr>
          <w:p>
            <w:pPr>
              <w:pStyle w:val="Contedodatabela"/>
              <w:jc w:val="center"/>
              <w:rPr/>
            </w:pPr>
            <w:r>
              <w:rPr/>
              <w:t>-</w:t>
            </w:r>
            <w:r>
              <w:rPr/>
              <w:t>0,38</w:t>
            </w:r>
          </w:p>
        </w:tc>
      </w:tr>
      <w:tr>
        <w:trPr/>
        <w:tc>
          <w:tcPr>
            <w:tcW w:w="3324" w:type="dxa"/>
            <w:tcBorders>
              <w:left w:val="single" w:sz="4" w:space="0" w:color="000000"/>
              <w:bottom w:val="single" w:sz="4" w:space="0" w:color="000000"/>
            </w:tcBorders>
          </w:tcPr>
          <w:p>
            <w:pPr>
              <w:pStyle w:val="Contedodatabela"/>
              <w:jc w:val="center"/>
              <w:rPr/>
            </w:pPr>
            <w:r>
              <w:rPr/>
              <w:t>cambio</w:t>
            </w:r>
          </w:p>
        </w:tc>
        <w:tc>
          <w:tcPr>
            <w:tcW w:w="3324" w:type="dxa"/>
            <w:tcBorders>
              <w:left w:val="single" w:sz="4" w:space="0" w:color="000000"/>
              <w:bottom w:val="single" w:sz="4" w:space="0" w:color="000000"/>
            </w:tcBorders>
          </w:tcPr>
          <w:p>
            <w:pPr>
              <w:pStyle w:val="Contedodatabela"/>
              <w:jc w:val="center"/>
              <w:rPr/>
            </w:pPr>
            <w:r>
              <w:rPr/>
              <w:t>0,01</w:t>
            </w:r>
          </w:p>
        </w:tc>
        <w:tc>
          <w:tcPr>
            <w:tcW w:w="3324" w:type="dxa"/>
            <w:tcBorders>
              <w:left w:val="single" w:sz="4" w:space="0" w:color="000000"/>
              <w:bottom w:val="single" w:sz="4" w:space="0" w:color="000000"/>
              <w:right w:val="single" w:sz="4" w:space="0" w:color="000000"/>
            </w:tcBorders>
          </w:tcPr>
          <w:p>
            <w:pPr>
              <w:pStyle w:val="Contedodatabela"/>
              <w:jc w:val="center"/>
              <w:rPr/>
            </w:pPr>
            <w:r>
              <w:rPr/>
              <w:t>0,42</w:t>
            </w:r>
          </w:p>
        </w:tc>
      </w:tr>
      <w:tr>
        <w:trPr/>
        <w:tc>
          <w:tcPr>
            <w:tcW w:w="3324" w:type="dxa"/>
            <w:tcBorders>
              <w:left w:val="single" w:sz="4" w:space="0" w:color="000000"/>
              <w:bottom w:val="single" w:sz="4" w:space="0" w:color="000000"/>
            </w:tcBorders>
          </w:tcPr>
          <w:p>
            <w:pPr>
              <w:pStyle w:val="Contedodatabela"/>
              <w:jc w:val="center"/>
              <w:rPr/>
            </w:pPr>
            <w:r>
              <w:rPr/>
              <w:t>ipca</w:t>
            </w:r>
          </w:p>
        </w:tc>
        <w:tc>
          <w:tcPr>
            <w:tcW w:w="3324" w:type="dxa"/>
            <w:tcBorders>
              <w:left w:val="single" w:sz="4" w:space="0" w:color="000000"/>
              <w:bottom w:val="single" w:sz="4" w:space="0" w:color="000000"/>
            </w:tcBorders>
          </w:tcPr>
          <w:p>
            <w:pPr>
              <w:pStyle w:val="Contedodatabela"/>
              <w:jc w:val="center"/>
              <w:rPr/>
            </w:pPr>
            <w:r>
              <w:rPr/>
              <w:t>-</w:t>
            </w:r>
            <w:r>
              <w:rPr/>
              <w:t>0,01</w:t>
            </w:r>
          </w:p>
        </w:tc>
        <w:tc>
          <w:tcPr>
            <w:tcW w:w="3324" w:type="dxa"/>
            <w:tcBorders>
              <w:left w:val="single" w:sz="4" w:space="0" w:color="000000"/>
              <w:bottom w:val="single" w:sz="4" w:space="0" w:color="000000"/>
              <w:right w:val="single" w:sz="4" w:space="0" w:color="000000"/>
            </w:tcBorders>
          </w:tcPr>
          <w:p>
            <w:pPr>
              <w:pStyle w:val="Contedodatabela"/>
              <w:jc w:val="center"/>
              <w:rPr/>
            </w:pPr>
            <w:r>
              <w:rPr/>
              <w:t>-</w:t>
            </w:r>
            <w:r>
              <w:rPr/>
              <w:t>0,04</w:t>
            </w:r>
          </w:p>
        </w:tc>
      </w:tr>
    </w:tbl>
    <w:p>
      <w:pPr>
        <w:pStyle w:val="Normal"/>
        <w:spacing w:lineRule="exact" w:line="360" w:before="0" w:after="120"/>
        <w:ind w:hanging="0"/>
        <w:jc w:val="center"/>
        <w:rPr>
          <w:rFonts w:ascii="Arial" w:hAnsi="Arial" w:eastAsia="Arial" w:cs="Arial"/>
          <w:b w:val="false"/>
          <w:bCs w:val="false"/>
          <w:i w:val="false"/>
          <w:i w:val="false"/>
          <w:iCs w:val="false"/>
          <w:sz w:val="22"/>
          <w:szCs w:val="22"/>
        </w:rPr>
      </w:pPr>
      <w:r>
        <w:rPr>
          <w:shd w:fill="auto" w:val="clear"/>
        </w:rPr>
      </w:r>
    </w:p>
    <w:p>
      <w:pPr>
        <w:pStyle w:val="Normal"/>
        <w:spacing w:lineRule="exact" w:line="360" w:before="0" w:after="120"/>
        <w:ind w:hanging="0"/>
        <w:jc w:val="both"/>
        <w:rPr/>
      </w:pPr>
      <w:r>
        <w:rPr>
          <w:rFonts w:eastAsia="Arial" w:cs="Arial"/>
          <w:b/>
          <w:bCs/>
          <w:i w:val="false"/>
          <w:iCs w:val="false"/>
          <w:sz w:val="22"/>
          <w:szCs w:val="22"/>
        </w:rPr>
        <w:t xml:space="preserve">3.3 </w:t>
      </w:r>
      <w:r>
        <w:rPr>
          <w:rFonts w:eastAsia="Arial" w:cs="Arial"/>
          <w:b/>
          <w:bCs/>
          <w:i w:val="false"/>
          <w:iCs w:val="false"/>
          <w:sz w:val="22"/>
          <w:szCs w:val="22"/>
        </w:rPr>
        <w:t>A curva move-se em bloco</w:t>
      </w:r>
    </w:p>
    <w:p>
      <w:pPr>
        <w:pStyle w:val="Normal"/>
        <w:spacing w:lineRule="exact" w:line="360" w:before="0" w:after="120"/>
        <w:ind w:hanging="0"/>
        <w:jc w:val="both"/>
        <w:rPr/>
      </w:pPr>
      <w:r>
        <w:rPr>
          <w:rFonts w:eastAsia="Arial" w:cs="Arial"/>
          <w:b w:val="false"/>
          <w:bCs w:val="false"/>
          <w:i w:val="false"/>
          <w:iCs w:val="false"/>
          <w:sz w:val="22"/>
          <w:szCs w:val="22"/>
        </w:rPr>
        <w:t xml:space="preserve">  </w:t>
      </w:r>
      <w:r>
        <w:rPr>
          <w:rFonts w:eastAsia="Arial" w:cs="Arial"/>
          <w:b w:val="false"/>
          <w:bCs w:val="false"/>
          <w:i w:val="false"/>
          <w:iCs w:val="false"/>
          <w:sz w:val="22"/>
          <w:szCs w:val="22"/>
        </w:rPr>
        <w:t>Testou-se a hipótese de que a Selic afetaria mais o vértice curto que o longo (o que explicaria a inversão). Os dados a rejeitaram: a variação da Selic quase não se correlaciona com a de qualquer vértice (0,02 a 0,04). Observou-se, porém, que os vértices se movem quase juntos nas variações (0,93 entre 5 e 10 anos; 0,95 entre 10 e 20 anos): a curva sobe e desce em bloco, e a inclinação é apenas a pequena diferença entre as pontas - o que explica seu caráter sutil.</w:t>
      </w:r>
    </w:p>
    <w:p>
      <w:pPr>
        <w:pStyle w:val="Normal"/>
        <w:spacing w:lineRule="exact" w:line="360" w:before="0" w:after="120"/>
        <w:jc w:val="both"/>
        <w:rPr>
          <w:rFonts w:ascii="Arial" w:hAnsi="Arial" w:eastAsia="Arial" w:cs="Arial"/>
          <w:b/>
          <w:bCs/>
          <w:i w:val="false"/>
          <w:i w:val="false"/>
          <w:iCs w:val="false"/>
          <w:sz w:val="22"/>
          <w:szCs w:val="22"/>
        </w:rPr>
      </w:pPr>
      <w:r>
        <w:rPr/>
      </w:r>
    </w:p>
    <w:p>
      <w:pPr>
        <w:pStyle w:val="Normal"/>
        <w:spacing w:lineRule="exact" w:line="360" w:before="0" w:after="120"/>
        <w:ind w:hanging="0"/>
        <w:jc w:val="both"/>
        <w:rPr/>
      </w:pPr>
      <w:r>
        <w:rPr>
          <w:rFonts w:eastAsia="Arial" w:cs="Arial"/>
          <w:b/>
          <w:bCs/>
          <w:i w:val="false"/>
          <w:iCs w:val="false"/>
          <w:sz w:val="22"/>
          <w:szCs w:val="22"/>
        </w:rPr>
        <w:t xml:space="preserve">3.4 </w:t>
      </w:r>
      <w:r>
        <w:rPr>
          <w:rFonts w:eastAsia="Arial" w:cs="Arial"/>
          <w:b/>
          <w:bCs/>
          <w:i w:val="false"/>
          <w:iCs w:val="false"/>
          <w:sz w:val="22"/>
          <w:szCs w:val="22"/>
        </w:rPr>
        <w:t>Posição atual e leitura da curva</w:t>
      </w:r>
    </w:p>
    <w:p>
      <w:pPr>
        <w:pStyle w:val="Normal"/>
        <w:spacing w:lineRule="exact" w:line="360" w:before="0" w:after="120"/>
        <w:ind w:hanging="0"/>
        <w:jc w:val="both"/>
        <w:rPr/>
      </w:pPr>
      <w:r>
        <w:rPr>
          <w:rFonts w:eastAsia="Arial" w:cs="Arial"/>
          <w:b w:val="false"/>
          <w:bCs w:val="false"/>
          <w:i w:val="false"/>
          <w:iCs w:val="false"/>
          <w:sz w:val="22"/>
          <w:szCs w:val="22"/>
        </w:rPr>
        <w:t xml:space="preserve">  </w:t>
      </w:r>
      <w:r>
        <w:rPr>
          <w:rFonts w:eastAsia="Arial" w:cs="Arial"/>
          <w:b w:val="false"/>
          <w:bCs w:val="false"/>
          <w:i w:val="false"/>
          <w:iCs w:val="false"/>
          <w:sz w:val="22"/>
          <w:szCs w:val="22"/>
        </w:rPr>
        <w:t>Em dezembro de 2025, o prêmio de 10 anos situava-se no percentil 92,6 da amostra, a inclinação no percentil 1,8 (curva mais invertida que em 98% dos meses) e a Selic no percentil 98,9 - uma configuração conjunta extrema e incomum. É importante separar o que é medição do que é interpretação: a medição robusta é apenas que se trata de um extremo histórico da amostra; a leitura de que a inversão refletiria a expectativa de queda dos juros é uma hipótese, que pressupõe a hipótese das expectativas e ignora o prêmio de prazo. Como se verá, o nível futuro é largamente imprevisível, de modo que a curva informa uma expectativa, não um destino.</w:t>
      </w:r>
    </w:p>
    <w:p>
      <w:pPr>
        <w:pStyle w:val="Normal"/>
        <w:spacing w:lineRule="exact" w:line="360" w:before="0" w:after="120"/>
        <w:ind w:hanging="0"/>
        <w:jc w:val="both"/>
        <w:rPr>
          <w:rFonts w:ascii="Arial" w:hAnsi="Arial" w:eastAsia="Arial" w:cs="Arial"/>
          <w:b/>
          <w:bCs/>
          <w:i w:val="false"/>
          <w:i w:val="false"/>
          <w:iCs w:val="false"/>
          <w:sz w:val="22"/>
          <w:szCs w:val="22"/>
        </w:rPr>
      </w:pPr>
      <w:r>
        <w:rPr/>
      </w:r>
    </w:p>
    <w:p>
      <w:pPr>
        <w:pStyle w:val="Normal"/>
        <w:spacing w:lineRule="exact" w:line="360" w:before="0" w:after="120"/>
        <w:ind w:hanging="0"/>
        <w:jc w:val="both"/>
        <w:rPr/>
      </w:pPr>
      <w:r>
        <w:rPr>
          <w:rFonts w:eastAsia="Arial" w:cs="Arial"/>
          <w:b/>
          <w:bCs/>
          <w:i w:val="false"/>
          <w:iCs w:val="false"/>
          <w:sz w:val="22"/>
          <w:szCs w:val="22"/>
        </w:rPr>
        <w:t xml:space="preserve">3.5 </w:t>
      </w:r>
      <w:r>
        <w:rPr>
          <w:rFonts w:eastAsia="Arial" w:cs="Arial"/>
          <w:b/>
          <w:bCs/>
          <w:i w:val="false"/>
          <w:iCs w:val="false"/>
          <w:sz w:val="22"/>
          <w:szCs w:val="22"/>
        </w:rPr>
        <w:t>Estacionariedade</w:t>
      </w:r>
    </w:p>
    <w:p>
      <w:pPr>
        <w:pStyle w:val="Normal"/>
        <w:spacing w:lineRule="exact" w:line="360" w:before="0" w:after="120"/>
        <w:ind w:hanging="0"/>
        <w:jc w:val="both"/>
        <w:rPr/>
      </w:pPr>
      <w:r>
        <w:rPr>
          <w:rFonts w:eastAsia="Arial" w:cs="Arial"/>
          <w:b w:val="false"/>
          <w:bCs w:val="false"/>
          <w:i w:val="false"/>
          <w:iCs w:val="false"/>
          <w:sz w:val="22"/>
          <w:szCs w:val="22"/>
        </w:rPr>
        <w:t xml:space="preserve">  </w:t>
      </w:r>
      <w:r>
        <w:rPr>
          <w:rFonts w:eastAsia="Arial" w:cs="Arial"/>
          <w:b w:val="false"/>
          <w:bCs w:val="false"/>
          <w:i w:val="false"/>
          <w:iCs w:val="false"/>
          <w:sz w:val="22"/>
          <w:szCs w:val="22"/>
        </w:rPr>
        <w:t>A</w:t>
      </w:r>
      <w:r>
        <w:rPr>
          <w:rFonts w:eastAsia="Arial" w:cs="Arial"/>
          <w:b w:val="false"/>
          <w:bCs w:val="false"/>
          <w:i w:val="false"/>
          <w:iCs w:val="false"/>
          <w:sz w:val="22"/>
          <w:szCs w:val="22"/>
        </w:rPr>
        <w:t xml:space="preserve"> decomposição mostrou domínio da tendência e sazonalidade desprezível, justificando o uso de ARIMA (e não SARIMA) e de Holt (e não Holt-Winters). A ACF da série em nível decai lentamente, sinal de não-estacionariedade. Os testes formais divergiram - o ADF não rejeitou a não-estacionariedade (p = 0,58), enquanto o ndiffs (KPSS) indicou zero diferenças - o que caracteriza uma série limítrofe, próxima de uma raiz unitária. Após uma diferenciação, a série torna-se claramente estacionária (ADF p = 0,01) e a ACF colapsa para dentro das bandas.</w:t>
      </w:r>
    </w:p>
    <w:p>
      <w:pPr>
        <w:pStyle w:val="Normal"/>
        <w:spacing w:lineRule="exact" w:line="360" w:before="0" w:after="120"/>
        <w:jc w:val="both"/>
        <w:rPr>
          <w:rFonts w:ascii="Arial" w:hAnsi="Arial" w:eastAsia="Arial" w:cs="Arial"/>
          <w:b w:val="false"/>
          <w:bCs w:val="false"/>
          <w:i w:val="false"/>
          <w:i w:val="false"/>
          <w:iCs w:val="false"/>
          <w:sz w:val="22"/>
          <w:szCs w:val="22"/>
        </w:rPr>
      </w:pPr>
      <w:r>
        <w:rPr>
          <w:shd w:fill="FFFF00" w:val="clear"/>
        </w:rPr>
      </w:r>
    </w:p>
    <w:p>
      <w:pPr>
        <w:pStyle w:val="Normal"/>
        <w:spacing w:lineRule="exact" w:line="360" w:before="0" w:after="120"/>
        <w:jc w:val="center"/>
        <w:rPr>
          <w:b/>
          <w:bCs/>
          <w:highlight w:val="none"/>
          <w:shd w:fill="auto" w:val="clear"/>
        </w:rPr>
      </w:pPr>
      <w:r>
        <w:rPr>
          <w:rFonts w:eastAsia="Arial" w:cs="Arial"/>
          <w:b/>
          <w:bCs/>
          <w:i w:val="false"/>
          <w:iCs w:val="false"/>
          <w:sz w:val="22"/>
          <w:szCs w:val="22"/>
          <w:shd w:fill="auto" w:val="clear"/>
        </w:rPr>
        <w:t>Figura 2 - Decomposição (mstl)</w:t>
      </w:r>
    </w:p>
    <w:p>
      <w:pPr>
        <w:pStyle w:val="Normal"/>
        <w:spacing w:lineRule="exact" w:line="360" w:before="0" w:after="120"/>
        <w:jc w:val="both"/>
        <w:rPr>
          <w:rFonts w:ascii="Arial" w:hAnsi="Arial" w:eastAsia="Arial" w:cs="Arial"/>
          <w:b w:val="false"/>
          <w:bCs w:val="false"/>
          <w:i w:val="false"/>
          <w:i w:val="false"/>
          <w:iCs w:val="false"/>
          <w:sz w:val="22"/>
          <w:szCs w:val="22"/>
        </w:rPr>
      </w:pPr>
      <w:r>
        <w:rPr>
          <w:shd w:fill="FFFF00" w:val="clea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13780" cy="4367530"/>
            <wp:effectExtent l="0" t="0" r="0" b="0"/>
            <wp:wrapSquare wrapText="largest"/>
            <wp:docPr id="2" name="Figura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descr=""/>
                    <pic:cNvPicPr>
                      <a:picLocks noChangeAspect="1" noChangeArrowheads="1"/>
                    </pic:cNvPicPr>
                  </pic:nvPicPr>
                  <pic:blipFill>
                    <a:blip r:embed="rId3"/>
                    <a:stretch>
                      <a:fillRect/>
                    </a:stretch>
                  </pic:blipFill>
                  <pic:spPr bwMode="auto">
                    <a:xfrm>
                      <a:off x="0" y="0"/>
                      <a:ext cx="6113780" cy="4367530"/>
                    </a:xfrm>
                    <a:prstGeom prst="rect">
                      <a:avLst/>
                    </a:prstGeom>
                  </pic:spPr>
                </pic:pic>
              </a:graphicData>
            </a:graphic>
          </wp:anchor>
        </w:drawing>
      </w:r>
    </w:p>
    <w:p>
      <w:pPr>
        <w:pStyle w:val="Normal"/>
        <w:spacing w:lineRule="exact" w:line="360" w:before="0" w:after="120"/>
        <w:jc w:val="both"/>
        <w:rPr>
          <w:rFonts w:ascii="Arial" w:hAnsi="Arial" w:eastAsia="Arial" w:cs="Arial"/>
          <w:b w:val="false"/>
          <w:bCs w:val="false"/>
          <w:i w:val="false"/>
          <w:i w:val="false"/>
          <w:iCs w:val="false"/>
          <w:sz w:val="22"/>
          <w:szCs w:val="22"/>
        </w:rPr>
      </w:pPr>
      <w:r>
        <w:rPr>
          <w:shd w:fill="FFFF00" w:val="clear"/>
        </w:rPr>
      </w:r>
    </w:p>
    <w:p>
      <w:pPr>
        <w:pStyle w:val="Normal"/>
        <w:spacing w:lineRule="exact" w:line="360" w:before="0" w:after="120"/>
        <w:ind w:hanging="0"/>
        <w:jc w:val="both"/>
        <w:rPr/>
      </w:pPr>
      <w:r>
        <w:rPr>
          <w:rFonts w:eastAsia="Arial" w:cs="Arial"/>
          <w:b/>
          <w:bCs/>
          <w:i w:val="false"/>
          <w:iCs w:val="false"/>
          <w:sz w:val="22"/>
          <w:szCs w:val="22"/>
        </w:rPr>
        <w:t xml:space="preserve">3.6 </w:t>
      </w:r>
      <w:r>
        <w:rPr>
          <w:rFonts w:eastAsia="Arial" w:cs="Arial"/>
          <w:b/>
          <w:bCs/>
          <w:i w:val="false"/>
          <w:iCs w:val="false"/>
          <w:sz w:val="22"/>
          <w:szCs w:val="22"/>
        </w:rPr>
        <w:t>Modelos de série temporal</w:t>
      </w:r>
    </w:p>
    <w:p>
      <w:pPr>
        <w:pStyle w:val="Normal"/>
        <w:spacing w:lineRule="exact" w:line="360" w:before="0" w:after="120"/>
        <w:ind w:hanging="0"/>
        <w:jc w:val="both"/>
        <w:rPr/>
      </w:pPr>
      <w:r>
        <w:rPr>
          <w:rFonts w:eastAsia="Arial" w:cs="Arial"/>
          <w:b w:val="false"/>
          <w:bCs w:val="false"/>
          <w:i w:val="false"/>
          <w:iCs w:val="false"/>
          <w:sz w:val="22"/>
          <w:szCs w:val="22"/>
        </w:rPr>
        <w:t xml:space="preserve">  </w:t>
      </w:r>
      <w:r>
        <w:rPr>
          <w:rFonts w:eastAsia="Arial" w:cs="Arial"/>
          <w:b w:val="false"/>
          <w:bCs w:val="false"/>
          <w:i w:val="false"/>
          <w:iCs w:val="false"/>
          <w:sz w:val="22"/>
          <w:szCs w:val="22"/>
        </w:rPr>
        <w:t>Na série completa, o auto.arima selecionou um ARIMA(1,0,2) com coeficiente autorregressivo de 0,96 - quase unitário - absorvendo a forte persistência sem diferenciar. Restrito ao treino, contudo, selecionou um ARIMA(1,1,0), passando a diferenciar: a própria escolha da ordem muda conforme a amostra, evidência concreta do caráter limítrofe da série. Um ajuste manual ARIMA(1,1,1) mostrou-se praticamente idêntico ao automático (termo de média móvel não significativo), indicando robustez. Em todos os casos, os resíduos comportaram-se como ruído (Ljung-Box não significativo).</w:t>
      </w:r>
    </w:p>
    <w:p>
      <w:pPr>
        <w:pStyle w:val="Normal"/>
        <w:spacing w:lineRule="exact" w:line="360" w:before="0" w:after="120"/>
        <w:ind w:hanging="0"/>
        <w:jc w:val="both"/>
        <w:rPr>
          <w:rFonts w:ascii="Arial" w:hAnsi="Arial" w:eastAsia="Arial" w:cs="Arial"/>
          <w:b w:val="false"/>
          <w:bCs w:val="false"/>
          <w:i w:val="false"/>
          <w:i w:val="false"/>
          <w:iCs w:val="false"/>
          <w:sz w:val="22"/>
          <w:szCs w:val="22"/>
        </w:rPr>
      </w:pPr>
      <w:r>
        <w:rPr/>
      </w:r>
    </w:p>
    <w:p>
      <w:pPr>
        <w:pStyle w:val="Normal"/>
        <w:spacing w:lineRule="exact" w:line="360" w:before="0" w:after="120"/>
        <w:ind w:hanging="0"/>
        <w:jc w:val="both"/>
        <w:rPr/>
      </w:pPr>
      <w:r>
        <w:rPr>
          <w:rFonts w:eastAsia="Arial" w:cs="Arial"/>
          <w:b/>
          <w:bCs/>
          <w:i w:val="false"/>
          <w:iCs w:val="false"/>
          <w:sz w:val="22"/>
          <w:szCs w:val="22"/>
        </w:rPr>
        <w:t xml:space="preserve">3.7 </w:t>
      </w:r>
      <w:r>
        <w:rPr>
          <w:rFonts w:eastAsia="Arial" w:cs="Arial"/>
          <w:b/>
          <w:bCs/>
          <w:i w:val="false"/>
          <w:iCs w:val="false"/>
          <w:sz w:val="22"/>
          <w:szCs w:val="22"/>
        </w:rPr>
        <w:t>Comparação de previsão (teste de 2025)</w:t>
      </w:r>
    </w:p>
    <w:p>
      <w:pPr>
        <w:pStyle w:val="Normal"/>
        <w:spacing w:lineRule="exact" w:line="360" w:before="0" w:after="120"/>
        <w:ind w:hanging="0"/>
        <w:jc w:val="both"/>
        <w:rPr/>
      </w:pPr>
      <w:r>
        <w:rPr>
          <w:rFonts w:eastAsia="Arial" w:cs="Arial"/>
          <w:b w:val="false"/>
          <w:bCs w:val="false"/>
          <w:i w:val="false"/>
          <w:iCs w:val="false"/>
          <w:sz w:val="22"/>
          <w:szCs w:val="22"/>
        </w:rPr>
        <w:t xml:space="preserve">  </w:t>
      </w:r>
      <w:r>
        <w:rPr>
          <w:rFonts w:eastAsia="Arial" w:cs="Arial"/>
          <w:b w:val="false"/>
          <w:bCs w:val="false"/>
          <w:i w:val="false"/>
          <w:iCs w:val="false"/>
          <w:sz w:val="22"/>
          <w:szCs w:val="22"/>
        </w:rPr>
        <w:t>Pelo erro absoluto médio, o ranking foi ARIMA (0,18), ETS (0,30) e Holt (0,67). O ARIMA venceu por ser parcimonioso: projeta essencialmente o último nível observado (~7,2%), o que se mostrou adequado porque 2025 foi um ano de juro real estável. O Holt teve o pior desempenho por extrapolar a tendência de alta de 2023–2024, que não se confirmou. Vale a ressalva honesta de que nenhum modelo capturou as oscilações do realizado: o ARIMA acertou por estar no nível correto, não por antecipar os movimentos.</w:t>
      </w:r>
    </w:p>
    <w:p>
      <w:pPr>
        <w:pStyle w:val="Normal"/>
        <w:spacing w:lineRule="exact" w:line="360" w:before="0" w:after="120"/>
        <w:jc w:val="both"/>
        <w:rPr>
          <w:rFonts w:ascii="Arial" w:hAnsi="Arial" w:eastAsia="Arial" w:cs="Arial"/>
          <w:b w:val="false"/>
          <w:bCs w:val="false"/>
          <w:i w:val="false"/>
          <w:i w:val="false"/>
          <w:iCs w:val="false"/>
          <w:sz w:val="22"/>
          <w:szCs w:val="22"/>
        </w:rPr>
      </w:pPr>
      <w:r>
        <w:rPr/>
      </w:r>
    </w:p>
    <w:p>
      <w:pPr>
        <w:pStyle w:val="Normal"/>
        <w:spacing w:lineRule="exact" w:line="360" w:before="0" w:after="120"/>
        <w:jc w:val="center"/>
        <w:rPr>
          <w:highlight w:val="none"/>
          <w:shd w:fill="FFFF00" w:val="clear"/>
        </w:rPr>
      </w:pPr>
      <w:r>
        <w:rPr>
          <w:b/>
          <w:bCs/>
          <w:shd w:fill="auto" w:val="clear"/>
        </w:rPr>
        <w:t>Figura 3 - Real vs previsões no teste 2025</w:t>
      </w:r>
      <w:r>
        <w:rPr>
          <w:shd w:fill="FFFF00" w:val="clear"/>
        </w:rPr>
        <w:t xml:space="preserve"> </w:t>
      </w:r>
    </w:p>
    <w:p>
      <w:pPr>
        <w:pStyle w:val="Normal"/>
        <w:spacing w:lineRule="exact" w:line="360" w:before="0" w:after="120"/>
        <w:jc w:val="both"/>
        <w:rPr>
          <w:highlight w:val="none"/>
          <w:shd w:fill="FFFF00" w:val="clear"/>
        </w:rPr>
      </w:pPr>
      <w:r>
        <w:rPr>
          <w:shd w:fill="FFFF00" w:val="clea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332220" cy="4069715"/>
            <wp:effectExtent l="0" t="0" r="0" b="0"/>
            <wp:wrapSquare wrapText="largest"/>
            <wp:docPr id="3" name="Figura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3" descr=""/>
                    <pic:cNvPicPr>
                      <a:picLocks noChangeAspect="1" noChangeArrowheads="1"/>
                    </pic:cNvPicPr>
                  </pic:nvPicPr>
                  <pic:blipFill>
                    <a:blip r:embed="rId4"/>
                    <a:stretch>
                      <a:fillRect/>
                    </a:stretch>
                  </pic:blipFill>
                  <pic:spPr bwMode="auto">
                    <a:xfrm>
                      <a:off x="0" y="0"/>
                      <a:ext cx="6332220" cy="4069715"/>
                    </a:xfrm>
                    <a:prstGeom prst="rect">
                      <a:avLst/>
                    </a:prstGeom>
                  </pic:spPr>
                </pic:pic>
              </a:graphicData>
            </a:graphic>
          </wp:anchor>
        </w:drawing>
      </w:r>
    </w:p>
    <w:p>
      <w:pPr>
        <w:pStyle w:val="Normal"/>
        <w:spacing w:lineRule="exact" w:line="360" w:before="0" w:after="60"/>
        <w:jc w:val="center"/>
        <w:rPr>
          <w:b/>
          <w:bCs/>
        </w:rPr>
      </w:pPr>
      <w:r>
        <w:rPr>
          <w:b/>
          <w:bCs/>
        </w:rPr>
        <w:t xml:space="preserve">Tabela </w:t>
      </w:r>
      <w:r>
        <w:rPr>
          <w:b/>
          <w:bCs/>
        </w:rPr>
        <w:t>4</w:t>
      </w:r>
      <w:r>
        <w:rPr>
          <w:b/>
          <w:bCs/>
        </w:rPr>
        <w:t xml:space="preserve"> - Erro absoluto médio (EAM) na previsão do teste de 2025</w:t>
      </w:r>
    </w:p>
    <w:tbl>
      <w:tblPr>
        <w:tblW w:w="5000" w:type="pct"/>
        <w:jc w:val="left"/>
        <w:tblInd w:w="-5" w:type="dxa"/>
        <w:tblLayout w:type="fixed"/>
        <w:tblCellMar>
          <w:top w:w="55" w:type="dxa"/>
          <w:left w:w="55" w:type="dxa"/>
          <w:bottom w:w="55" w:type="dxa"/>
          <w:right w:w="55" w:type="dxa"/>
        </w:tblCellMar>
      </w:tblPr>
      <w:tblGrid>
        <w:gridCol w:w="4986"/>
        <w:gridCol w:w="4986"/>
      </w:tblGrid>
      <w:tr>
        <w:trPr/>
        <w:tc>
          <w:tcPr>
            <w:tcW w:w="4986" w:type="dxa"/>
            <w:tcBorders>
              <w:top w:val="single" w:sz="4" w:space="0" w:color="000000"/>
              <w:left w:val="single" w:sz="4" w:space="0" w:color="000000"/>
              <w:bottom w:val="single" w:sz="4" w:space="0" w:color="000000"/>
            </w:tcBorders>
          </w:tcPr>
          <w:p>
            <w:pPr>
              <w:pStyle w:val="Contedodatabela"/>
              <w:jc w:val="center"/>
              <w:rPr>
                <w:b/>
                <w:bCs/>
              </w:rPr>
            </w:pPr>
            <w:r>
              <w:rPr>
                <w:b/>
                <w:bCs/>
              </w:rPr>
              <w:t>Modelo</w:t>
            </w:r>
          </w:p>
        </w:tc>
        <w:tc>
          <w:tcPr>
            <w:tcW w:w="4986" w:type="dxa"/>
            <w:tcBorders>
              <w:top w:val="single" w:sz="4" w:space="0" w:color="000000"/>
              <w:left w:val="single" w:sz="4" w:space="0" w:color="000000"/>
              <w:bottom w:val="single" w:sz="4" w:space="0" w:color="000000"/>
              <w:right w:val="single" w:sz="4" w:space="0" w:color="000000"/>
            </w:tcBorders>
          </w:tcPr>
          <w:p>
            <w:pPr>
              <w:pStyle w:val="Contedodatabela"/>
              <w:jc w:val="center"/>
              <w:rPr>
                <w:b/>
                <w:bCs/>
              </w:rPr>
            </w:pPr>
            <w:r>
              <w:rPr>
                <w:b/>
                <w:bCs/>
              </w:rPr>
              <w:t>EAM (MAE)</w:t>
            </w:r>
          </w:p>
        </w:tc>
      </w:tr>
      <w:tr>
        <w:trPr/>
        <w:tc>
          <w:tcPr>
            <w:tcW w:w="4986" w:type="dxa"/>
            <w:tcBorders>
              <w:left w:val="single" w:sz="4" w:space="0" w:color="000000"/>
              <w:bottom w:val="single" w:sz="4" w:space="0" w:color="000000"/>
            </w:tcBorders>
          </w:tcPr>
          <w:p>
            <w:pPr>
              <w:pStyle w:val="Contedodatabela"/>
              <w:jc w:val="center"/>
              <w:rPr/>
            </w:pPr>
            <w:r>
              <w:rPr/>
              <w:t>ARIMA(1,1,0)</w:t>
            </w:r>
          </w:p>
        </w:tc>
        <w:tc>
          <w:tcPr>
            <w:tcW w:w="4986" w:type="dxa"/>
            <w:tcBorders>
              <w:left w:val="single" w:sz="4" w:space="0" w:color="000000"/>
              <w:bottom w:val="single" w:sz="4" w:space="0" w:color="000000"/>
              <w:right w:val="single" w:sz="4" w:space="0" w:color="000000"/>
            </w:tcBorders>
          </w:tcPr>
          <w:p>
            <w:pPr>
              <w:pStyle w:val="Contedodatabela"/>
              <w:jc w:val="center"/>
              <w:rPr/>
            </w:pPr>
            <w:r>
              <w:rPr/>
              <w:t>0,18</w:t>
            </w:r>
          </w:p>
        </w:tc>
      </w:tr>
      <w:tr>
        <w:trPr/>
        <w:tc>
          <w:tcPr>
            <w:tcW w:w="4986" w:type="dxa"/>
            <w:tcBorders>
              <w:left w:val="single" w:sz="4" w:space="0" w:color="000000"/>
              <w:bottom w:val="single" w:sz="4" w:space="0" w:color="000000"/>
            </w:tcBorders>
          </w:tcPr>
          <w:p>
            <w:pPr>
              <w:pStyle w:val="Contedodatabela"/>
              <w:jc w:val="center"/>
              <w:rPr/>
            </w:pPr>
            <w:r>
              <w:rPr/>
              <w:t>ETS</w:t>
            </w:r>
          </w:p>
        </w:tc>
        <w:tc>
          <w:tcPr>
            <w:tcW w:w="4986" w:type="dxa"/>
            <w:tcBorders>
              <w:left w:val="single" w:sz="4" w:space="0" w:color="000000"/>
              <w:bottom w:val="single" w:sz="4" w:space="0" w:color="000000"/>
              <w:right w:val="single" w:sz="4" w:space="0" w:color="000000"/>
            </w:tcBorders>
          </w:tcPr>
          <w:p>
            <w:pPr>
              <w:pStyle w:val="Contedodatabela"/>
              <w:jc w:val="center"/>
              <w:rPr/>
            </w:pPr>
            <w:r>
              <w:rPr/>
              <w:t>0,30</w:t>
            </w:r>
          </w:p>
        </w:tc>
      </w:tr>
      <w:tr>
        <w:trPr/>
        <w:tc>
          <w:tcPr>
            <w:tcW w:w="4986" w:type="dxa"/>
            <w:tcBorders>
              <w:left w:val="single" w:sz="4" w:space="0" w:color="000000"/>
              <w:bottom w:val="single" w:sz="4" w:space="0" w:color="000000"/>
            </w:tcBorders>
          </w:tcPr>
          <w:p>
            <w:pPr>
              <w:pStyle w:val="Contedodatabela"/>
              <w:jc w:val="center"/>
              <w:rPr/>
            </w:pPr>
            <w:r>
              <w:rPr/>
              <w:t>Holt</w:t>
            </w:r>
          </w:p>
        </w:tc>
        <w:tc>
          <w:tcPr>
            <w:tcW w:w="4986" w:type="dxa"/>
            <w:tcBorders>
              <w:left w:val="single" w:sz="4" w:space="0" w:color="000000"/>
              <w:bottom w:val="single" w:sz="4" w:space="0" w:color="000000"/>
              <w:right w:val="single" w:sz="4" w:space="0" w:color="000000"/>
            </w:tcBorders>
          </w:tcPr>
          <w:p>
            <w:pPr>
              <w:pStyle w:val="Contedodatabela"/>
              <w:jc w:val="center"/>
              <w:rPr/>
            </w:pPr>
            <w:r>
              <w:rPr/>
              <w:t>0,67</w:t>
            </w:r>
          </w:p>
        </w:tc>
      </w:tr>
      <w:tr>
        <w:trPr/>
        <w:tc>
          <w:tcPr>
            <w:tcW w:w="4986" w:type="dxa"/>
            <w:tcBorders>
              <w:left w:val="single" w:sz="4" w:space="0" w:color="000000"/>
              <w:bottom w:val="single" w:sz="4" w:space="0" w:color="000000"/>
            </w:tcBorders>
          </w:tcPr>
          <w:p>
            <w:pPr>
              <w:pStyle w:val="Contedodatabela"/>
              <w:jc w:val="center"/>
              <w:rPr/>
            </w:pPr>
            <w:r>
              <w:rPr/>
              <w:t>Regressão (variáveis macro + inclinação)</w:t>
            </w:r>
          </w:p>
        </w:tc>
        <w:tc>
          <w:tcPr>
            <w:tcW w:w="4986" w:type="dxa"/>
            <w:tcBorders>
              <w:left w:val="single" w:sz="4" w:space="0" w:color="000000"/>
              <w:bottom w:val="single" w:sz="4" w:space="0" w:color="000000"/>
              <w:right w:val="single" w:sz="4" w:space="0" w:color="000000"/>
            </w:tcBorders>
          </w:tcPr>
          <w:p>
            <w:pPr>
              <w:pStyle w:val="Contedodatabela"/>
              <w:jc w:val="center"/>
              <w:rPr/>
            </w:pPr>
            <w:r>
              <w:rPr/>
              <w:t>0,68</w:t>
            </w:r>
          </w:p>
        </w:tc>
      </w:tr>
    </w:tbl>
    <w:p>
      <w:pPr>
        <w:pStyle w:val="Normal"/>
        <w:spacing w:lineRule="exact" w:line="360" w:before="0" w:after="60"/>
        <w:jc w:val="center"/>
        <w:rPr/>
      </w:pPr>
      <w:r>
        <w:rPr/>
      </w:r>
    </w:p>
    <w:p>
      <w:pPr>
        <w:pStyle w:val="Normal"/>
        <w:spacing w:lineRule="exact" w:line="360" w:before="0" w:after="120"/>
        <w:ind w:hanging="0"/>
        <w:jc w:val="both"/>
        <w:rPr>
          <w:rFonts w:ascii="Arial" w:hAnsi="Arial" w:eastAsia="Arial" w:cs="Arial"/>
          <w:b/>
          <w:bCs/>
          <w:i w:val="false"/>
          <w:i w:val="false"/>
          <w:iCs w:val="false"/>
          <w:sz w:val="22"/>
          <w:szCs w:val="22"/>
        </w:rPr>
      </w:pPr>
      <w:r>
        <w:rPr/>
      </w:r>
    </w:p>
    <w:p>
      <w:pPr>
        <w:pStyle w:val="Normal"/>
        <w:spacing w:lineRule="exact" w:line="360" w:before="0" w:after="120"/>
        <w:ind w:hanging="0"/>
        <w:jc w:val="both"/>
        <w:rPr/>
      </w:pPr>
      <w:r>
        <w:rPr>
          <w:rFonts w:eastAsia="Arial" w:cs="Arial"/>
          <w:b/>
          <w:bCs/>
          <w:i w:val="false"/>
          <w:iCs w:val="false"/>
          <w:sz w:val="22"/>
          <w:szCs w:val="22"/>
        </w:rPr>
        <w:t xml:space="preserve">3.8 </w:t>
      </w:r>
      <w:r>
        <w:rPr>
          <w:rFonts w:eastAsia="Arial" w:cs="Arial"/>
          <w:b/>
          <w:bCs/>
          <w:i w:val="false"/>
          <w:iCs w:val="false"/>
          <w:sz w:val="22"/>
          <w:szCs w:val="22"/>
        </w:rPr>
        <w:t xml:space="preserve">A inclinação ajuda? Regressão e o paradoxo explicar </w:t>
      </w:r>
      <w:r>
        <w:rPr>
          <w:rFonts w:eastAsia="Arial" w:cs="Arial"/>
          <w:b/>
          <w:bCs/>
          <w:i w:val="false"/>
          <w:iCs w:val="false"/>
          <w:sz w:val="22"/>
          <w:szCs w:val="22"/>
        </w:rPr>
        <w:t>vs</w:t>
      </w:r>
      <w:r>
        <w:rPr>
          <w:rFonts w:eastAsia="Arial" w:cs="Arial"/>
          <w:b/>
          <w:bCs/>
          <w:i w:val="false"/>
          <w:iCs w:val="false"/>
          <w:sz w:val="22"/>
          <w:szCs w:val="22"/>
        </w:rPr>
        <w:t xml:space="preserve"> prever</w:t>
      </w:r>
    </w:p>
    <w:p>
      <w:pPr>
        <w:pStyle w:val="Normal"/>
        <w:spacing w:lineRule="exact" w:line="360" w:before="0" w:after="120"/>
        <w:ind w:hanging="0"/>
        <w:jc w:val="both"/>
        <w:rPr/>
      </w:pPr>
      <w:r>
        <w:rPr>
          <w:rFonts w:eastAsia="Arial" w:cs="Arial"/>
          <w:b w:val="false"/>
          <w:bCs w:val="false"/>
          <w:i w:val="false"/>
          <w:iCs w:val="false"/>
          <w:sz w:val="22"/>
          <w:szCs w:val="22"/>
        </w:rPr>
        <w:t xml:space="preserve">  </w:t>
      </w:r>
      <w:r>
        <w:rPr>
          <w:rFonts w:eastAsia="Arial" w:cs="Arial"/>
          <w:b w:val="false"/>
          <w:bCs w:val="false"/>
          <w:i w:val="false"/>
          <w:iCs w:val="false"/>
          <w:sz w:val="22"/>
          <w:szCs w:val="22"/>
        </w:rPr>
        <w:t>Na regressão, a inclinação mostrou-se a segunda variável mais relevante (atrás apenas da Selic), com coeficiente de −0,77, confirmando a intuição de que a forma da curva carrega informação sobre o nível - resultado coerente com a associação que sobrevive nas variações (−0,38). O modelo explicou bem o presente (R² ajustado de 0,72). Entretanto, o teste de Breusch-Godfrey acusou forte autocorrelação dos resíduos (p &lt; 2×10⁻¹⁶), o que torna os p-valores otimistas e revela que a regressão, por ignorar a dinâmica temporal, viola a hipótese de independência dos resíduos. Cogitou-se aplicar um método de seleção automática de variáveis (forward com critério de Akaike), mas optou-se por não o fazer: com apenas quatro preditores e significância nítida - dois fortemente significativos e dois claramente não -, a seleção convergiria ao mesmo subconjunto, sem alterar as conclusões. Mais importante, o problema central da regressão neste contexto não é a escolha de variáveis, e sim a autocorrelação dos resíduos recém-constatada, que nenhum método de seleção corrige. Na previsão, a regressão obteve EAM de 0,68 - empatada com o pior modelo e 3,7 vezes pior que o ARIMA - ainda que tenha contado com vantagem (usou os valores reais das variáveis de 2025, que não estariam disponíveis no momento em que a previsão precisaria ser feita (final de 2024). Confirma-se que explicar não é prever: um bom ajuste do passado não garante boa previsão do futuro.</w:t>
      </w:r>
    </w:p>
    <w:p>
      <w:pPr>
        <w:pStyle w:val="Normal"/>
        <w:spacing w:lineRule="exact" w:line="360" w:before="0" w:after="120"/>
        <w:jc w:val="both"/>
        <w:rPr>
          <w:rFonts w:ascii="Arial" w:hAnsi="Arial" w:eastAsia="Arial" w:cs="Arial"/>
          <w:b w:val="false"/>
          <w:bCs w:val="false"/>
          <w:i w:val="false"/>
          <w:i w:val="false"/>
          <w:iCs w:val="false"/>
          <w:sz w:val="22"/>
          <w:szCs w:val="22"/>
        </w:rPr>
      </w:pPr>
      <w:r>
        <w:rPr/>
      </w:r>
    </w:p>
    <w:p>
      <w:pPr>
        <w:pStyle w:val="Normal"/>
        <w:spacing w:lineRule="exact" w:line="360" w:before="0" w:after="120"/>
        <w:jc w:val="center"/>
        <w:rPr>
          <w:b/>
          <w:bCs/>
          <w:highlight w:val="none"/>
          <w:shd w:fill="auto" w:val="clear"/>
        </w:rPr>
      </w:pPr>
      <w:r>
        <w:rPr>
          <w:rFonts w:eastAsia="Arial" w:cs="Arial"/>
          <w:b/>
          <w:bCs/>
          <w:i w:val="false"/>
          <w:iCs w:val="false"/>
          <w:sz w:val="22"/>
          <w:szCs w:val="22"/>
          <w:shd w:fill="auto" w:val="clear"/>
        </w:rPr>
        <w:t>Figura 4 - Diagnóstico de resíduos da regressão</w:t>
      </w:r>
    </w:p>
    <w:p>
      <w:pPr>
        <w:pStyle w:val="Normal"/>
        <w:spacing w:lineRule="exact" w:line="360" w:before="0" w:after="120"/>
        <w:jc w:val="both"/>
        <w:rPr>
          <w:rFonts w:ascii="Arial" w:hAnsi="Arial" w:eastAsia="Arial" w:cs="Arial"/>
          <w:b w:val="false"/>
          <w:bCs w:val="false"/>
          <w:i w:val="false"/>
          <w:i w:val="false"/>
          <w:iCs w:val="false"/>
          <w:sz w:val="22"/>
          <w:szCs w:val="22"/>
        </w:rPr>
      </w:pPr>
      <w:r>
        <w:rPr>
          <w:shd w:fill="FFFF00" w:val="clea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332220" cy="4523105"/>
            <wp:effectExtent l="0" t="0" r="0" b="0"/>
            <wp:wrapSquare wrapText="largest"/>
            <wp:docPr id="4" name="Figura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4" descr=""/>
                    <pic:cNvPicPr>
                      <a:picLocks noChangeAspect="1" noChangeArrowheads="1"/>
                    </pic:cNvPicPr>
                  </pic:nvPicPr>
                  <pic:blipFill>
                    <a:blip r:embed="rId5"/>
                    <a:stretch>
                      <a:fillRect/>
                    </a:stretch>
                  </pic:blipFill>
                  <pic:spPr bwMode="auto">
                    <a:xfrm>
                      <a:off x="0" y="0"/>
                      <a:ext cx="6332220" cy="4523105"/>
                    </a:xfrm>
                    <a:prstGeom prst="rect">
                      <a:avLst/>
                    </a:prstGeom>
                  </pic:spPr>
                </pic:pic>
              </a:graphicData>
            </a:graphic>
          </wp:anchor>
        </w:drawing>
      </w:r>
    </w:p>
    <w:p>
      <w:pPr>
        <w:pStyle w:val="Heading1"/>
        <w:spacing w:lineRule="exact" w:line="360" w:before="240" w:after="120"/>
        <w:ind w:hanging="0"/>
        <w:rPr/>
      </w:pPr>
      <w:r>
        <w:rPr>
          <w:rFonts w:eastAsia="Arial" w:cs="Arial" w:ascii="Arial" w:hAnsi="Arial"/>
          <w:b/>
          <w:bCs/>
          <w:sz w:val="26"/>
          <w:szCs w:val="26"/>
        </w:rPr>
        <w:t xml:space="preserve">4 </w:t>
      </w:r>
      <w:r>
        <w:rPr>
          <w:rFonts w:eastAsia="Arial" w:cs="Arial" w:ascii="Arial" w:hAnsi="Arial"/>
          <w:b/>
          <w:bCs/>
          <w:sz w:val="26"/>
          <w:szCs w:val="26"/>
        </w:rPr>
        <w:t>Considerações finais</w:t>
      </w:r>
    </w:p>
    <w:p>
      <w:pPr>
        <w:pStyle w:val="Normal"/>
        <w:spacing w:lineRule="exact" w:line="360" w:before="0" w:after="120"/>
        <w:ind w:hanging="0"/>
        <w:jc w:val="both"/>
        <w:rPr/>
      </w:pPr>
      <w:r>
        <w:rPr>
          <w:rFonts w:eastAsia="Arial" w:cs="Arial"/>
          <w:sz w:val="22"/>
          <w:szCs w:val="22"/>
        </w:rPr>
        <w:t xml:space="preserve">  </w:t>
      </w:r>
      <w:r>
        <w:rPr>
          <w:rFonts w:eastAsia="Arial" w:cs="Arial"/>
          <w:sz w:val="22"/>
          <w:szCs w:val="22"/>
        </w:rPr>
        <w:t>O trabalho perguntou se a forma da curva de juro real ajuda a entender o prêmio de 10 anos. A resposta tem duas camadas. Para explicar o presente, sim: a inclinação é estatisticamente e economicamente relevante, e a relação resiste ao teste mais exigente das variações. Para prever o futuro, porém, essa informação não se converteu em ganho: um ARIMA simples, que usa apenas o passado da própria série, superou com folga a regressão repleta de variáveis macroeconômicas.</w:t>
      </w:r>
    </w:p>
    <w:p>
      <w:pPr>
        <w:pStyle w:val="Normal"/>
        <w:spacing w:lineRule="exact" w:line="360" w:before="0" w:after="120"/>
        <w:ind w:hanging="0"/>
        <w:jc w:val="both"/>
        <w:rPr/>
      </w:pPr>
      <w:r>
        <w:rPr>
          <w:rFonts w:eastAsia="Arial" w:cs="Arial"/>
          <w:sz w:val="22"/>
          <w:szCs w:val="22"/>
        </w:rPr>
        <w:t xml:space="preserve">  </w:t>
      </w:r>
      <w:r>
        <w:rPr>
          <w:rFonts w:eastAsia="Arial" w:cs="Arial"/>
          <w:sz w:val="22"/>
          <w:szCs w:val="22"/>
        </w:rPr>
        <w:t>Do ponto de vista metodológico, três achados merecem destaque: a importância de avaliar correlações em diferenças, e não apenas em nível, para não confundir tendência comum com relação causal; o caráter limítrofe (quase raiz unitária) da série, que faz a própria escolha do modelo variar com a amostra; e a necessidade do teste de autocorrelação dos resíduos ao usar regressão em dados temporais.</w:t>
      </w:r>
    </w:p>
    <w:p>
      <w:pPr>
        <w:pStyle w:val="Normal"/>
        <w:spacing w:lineRule="exact" w:line="360" w:before="0" w:after="120"/>
        <w:ind w:hanging="0"/>
        <w:jc w:val="both"/>
        <w:rPr/>
      </w:pPr>
      <w:r>
        <w:rPr>
          <w:rFonts w:eastAsia="Arial" w:cs="Arial"/>
          <w:sz w:val="22"/>
          <w:szCs w:val="22"/>
        </w:rPr>
        <w:t xml:space="preserve">  </w:t>
      </w:r>
      <w:r>
        <w:rPr>
          <w:rFonts w:eastAsia="Arial" w:cs="Arial"/>
          <w:sz w:val="22"/>
          <w:szCs w:val="22"/>
        </w:rPr>
        <w:t>Do ponto de vista econômico, o que os dados sustentam com segurança é apenas que dezembro de 2025 representa um extremo histórico da amostra - juro real elevado e curva fortemente invertida. A leitura de que a inversão sinaliza queda futura dos juros é uma expectativa do mercado, não uma certeza: a própria modelagem mostrou que o nível futuro do juro real é, em larga medida, imprevisível. A curva, portanto, informa uma expectativa, não um destino.</w:t>
      </w:r>
    </w:p>
    <w:p>
      <w:pPr>
        <w:pStyle w:val="Normal"/>
        <w:spacing w:lineRule="exact" w:line="360" w:before="0" w:after="120"/>
        <w:ind w:hanging="0"/>
        <w:jc w:val="both"/>
        <w:rPr/>
      </w:pPr>
      <w:r>
        <w:rPr>
          <w:rFonts w:eastAsia="Arial" w:cs="Arial"/>
          <w:sz w:val="22"/>
          <w:szCs w:val="22"/>
        </w:rPr>
        <w:t xml:space="preserve">  </w:t>
      </w:r>
      <w:r>
        <w:rPr>
          <w:rFonts w:eastAsia="Arial" w:cs="Arial"/>
          <w:sz w:val="22"/>
          <w:szCs w:val="22"/>
        </w:rPr>
        <w:t>Como limitação, registra-se que a regressão treinou com 22 meses a menos que o ARIMA, em razão de intervalos ausentes no vértice de 20 anos; o período de teste, contudo, é idêntico, e a diferença de desempenho é ampla o suficiente para que essa assimetria não explique o resultado. Extensões futuras poderiam incorporar modelos que tratem simultaneamente variáveis externas e dinâmica temporal.</w:t>
      </w:r>
    </w:p>
    <w:sectPr>
      <w:type w:val="nextPage"/>
      <w:pgSz w:w="12240" w:h="15840"/>
      <w:pgMar w:left="1134" w:right="1134" w:gutter="0" w:header="0" w:top="1134"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default"/>
  </w:font>
  <w:font w:name="Liberation Sans">
    <w:altName w:val="Arial"/>
    <w:charset w:val="01"/>
    <w:family w:val="swiss"/>
    <w:pitch w:val="variable"/>
  </w:font>
</w:fonts>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pt-BR" w:eastAsia="zh-CN" w:bidi="hi-IN"/>
      </w:rPr>
    </w:rPrDefault>
    <w:pPrDefault>
      <w:pPr>
        <w:suppressAutoHyphens w:val="true"/>
      </w:pPr>
    </w:pPrDefault>
  </w:docDefaults>
  <w:style w:type="paragraph" w:styleId="Normal">
    <w:name w:val="Normal"/>
    <w:qFormat/>
    <w:pPr>
      <w:widowControl/>
      <w:bidi w:val="0"/>
      <w:spacing w:before="0" w:after="0"/>
      <w:ind w:firstLine="227" w:left="0"/>
      <w:jc w:val="left"/>
    </w:pPr>
    <w:rPr>
      <w:rFonts w:ascii="Arial" w:hAnsi="Arial" w:eastAsia="Arial" w:cs="Arial"/>
      <w:color w:val="auto"/>
      <w:kern w:val="0"/>
      <w:sz w:val="22"/>
      <w:szCs w:val="22"/>
      <w:lang w:val="pt-BR" w:eastAsia="zh-CN" w:bidi="hi-IN"/>
    </w:rPr>
  </w:style>
  <w:style w:type="paragraph" w:styleId="Heading1">
    <w:name w:val="Heading 1"/>
    <w:basedOn w:val="Ttulo"/>
    <w:qFormat/>
    <w:pPr/>
    <w:rPr>
      <w:rFonts w:ascii="Arial" w:hAnsi="Arial"/>
      <w:b/>
      <w:color w:val="auto"/>
      <w:sz w:val="22"/>
      <w:szCs w:val="32"/>
    </w:rPr>
  </w:style>
  <w:style w:type="paragraph" w:styleId="Heading2">
    <w:name w:val="Heading 2"/>
    <w:basedOn w:val="Ttulo"/>
    <w:qFormat/>
    <w:pPr/>
    <w:rPr>
      <w:color w:val="2E74B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derodap">
    <w:name w:val="Caracteres de nota de rodapé"/>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defim">
    <w:name w:val="Caracteres de nota de fim"/>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Strong">
    <w:name w:val="Strong"/>
    <w:qFormat/>
    <w:rPr>
      <w:b/>
      <w:bCs/>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pt-BR"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pt-B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ontedodatabela">
    <w:name w:val="Conteúdo da tabela"/>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LibreOffice/24.2.7.2$Linux_X86_64 LibreOffice_project/420$Build-2</Application>
  <AppVersion>15.0000</AppVersion>
  <Pages>9</Pages>
  <Words>2219</Words>
  <Characters>11343</Characters>
  <CharactersWithSpaces>13455</CharactersWithSpaces>
  <Paragraphs>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2026-06-27T19:25:15Z</dcterms:created>
  <dc:creator>Un-named</dc:creator>
  <dc:description/>
  <dc:language>pt-BR</dc:language>
  <cp:lastModifiedBy/>
  <dcterms:modified xsi:type="dcterms:W3CDTF">2026-06-27T19:47:52Z</dcterms:modified>
  <cp:revision>3</cp:revision>
  <dc:subject/>
  <dc:title/>
</cp:coreProperties>
</file>