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0E1A6">
      <w:pPr>
        <w:pStyle w:val="4"/>
        <w:keepNext w:val="0"/>
        <w:keepLines w:val="0"/>
        <w:widowControl/>
        <w:suppressLineNumbers w:val="0"/>
        <w:rPr>
          <w:rFonts w:hint="default" w:ascii="Arial" w:hAnsi="Arial" w:cs="Arial"/>
          <w:b/>
          <w:bCs/>
          <w:color w:val="000000" w:themeColor="text1"/>
          <w:sz w:val="19"/>
          <w:szCs w:val="19"/>
          <w:lang w:val="en-US"/>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Online Retail Store Dash</w:t>
      </w:r>
      <w:r>
        <w:rPr>
          <w:rFonts w:hint="default" w:ascii="Arial" w:hAnsi="Arial" w:cs="Arial"/>
          <w:b/>
          <w:bCs/>
          <w:color w:val="000000" w:themeColor="text1"/>
          <w:sz w:val="19"/>
          <w:szCs w:val="19"/>
          <w:lang w:val="en-US"/>
          <w14:textFill>
            <w14:solidFill>
              <w14:schemeClr w14:val="tx1"/>
            </w14:solidFill>
          </w14:textFill>
        </w:rPr>
        <w:t>board Summary</w:t>
      </w:r>
    </w:p>
    <w:p w14:paraId="2BDD2655">
      <w:pPr>
        <w:pStyle w:val="5"/>
        <w:keepNext w:val="0"/>
        <w:keepLines w:val="0"/>
        <w:widowControl/>
        <w:suppressLineNumbers w:val="0"/>
        <w:rPr>
          <w:rFonts w:hint="default" w:ascii="Arial" w:hAnsi="Arial" w:cs="Arial"/>
          <w:sz w:val="19"/>
          <w:szCs w:val="19"/>
          <w:lang w:val="en-US"/>
        </w:rPr>
      </w:pPr>
      <w:r>
        <w:rPr>
          <w:rFonts w:hint="default" w:ascii="Arial" w:hAnsi="Arial" w:cs="Arial"/>
          <w:sz w:val="19"/>
          <w:szCs w:val="19"/>
        </w:rPr>
        <w:t xml:space="preserve">Data Cleaning </w:t>
      </w:r>
      <w:r>
        <w:rPr>
          <w:rFonts w:hint="default" w:ascii="Arial" w:hAnsi="Arial" w:cs="Arial"/>
          <w:sz w:val="19"/>
          <w:szCs w:val="19"/>
          <w:lang w:val="en-US"/>
        </w:rPr>
        <w:t>Challenges</w:t>
      </w:r>
    </w:p>
    <w:p w14:paraId="06C8430A">
      <w:pPr>
        <w:pStyle w:val="9"/>
        <w:keepNext w:val="0"/>
        <w:keepLines w:val="0"/>
        <w:widowControl/>
        <w:suppressLineNumbers w:val="0"/>
        <w:rPr>
          <w:rFonts w:hint="default" w:ascii="Arial" w:hAnsi="Arial" w:cs="Arial"/>
          <w:sz w:val="19"/>
          <w:szCs w:val="19"/>
        </w:rPr>
      </w:pPr>
      <w:r>
        <w:rPr>
          <w:rFonts w:hint="default" w:ascii="Arial" w:hAnsi="Arial" w:cs="Arial"/>
          <w:sz w:val="19"/>
          <w:szCs w:val="19"/>
        </w:rPr>
        <w:t>During the data cleaning process, several data quality challenges were identified:</w:t>
      </w:r>
    </w:p>
    <w:p w14:paraId="084AF7FA">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Missing values in</w:t>
      </w:r>
      <w:r>
        <w:rPr>
          <w:rFonts w:hint="default" w:ascii="Arial" w:hAnsi="Arial" w:cs="Arial"/>
          <w:b w:val="0"/>
          <w:bCs w:val="0"/>
          <w:sz w:val="19"/>
          <w:szCs w:val="19"/>
        </w:rPr>
        <w:t xml:space="preserve"> the </w:t>
      </w:r>
      <w:r>
        <w:rPr>
          <w:rStyle w:val="10"/>
          <w:rFonts w:hint="default" w:ascii="Arial" w:hAnsi="Arial" w:cs="Arial"/>
          <w:b w:val="0"/>
          <w:bCs w:val="0"/>
          <w:sz w:val="19"/>
          <w:szCs w:val="19"/>
        </w:rPr>
        <w:t>Customer ID</w:t>
      </w:r>
      <w:r>
        <w:rPr>
          <w:rFonts w:hint="default" w:ascii="Arial" w:hAnsi="Arial" w:cs="Arial"/>
          <w:b w:val="0"/>
          <w:bCs w:val="0"/>
          <w:sz w:val="19"/>
          <w:szCs w:val="19"/>
        </w:rPr>
        <w:t xml:space="preserve"> and </w:t>
      </w:r>
      <w:r>
        <w:rPr>
          <w:rStyle w:val="10"/>
          <w:rFonts w:hint="default" w:ascii="Arial" w:hAnsi="Arial" w:cs="Arial"/>
          <w:b w:val="0"/>
          <w:bCs w:val="0"/>
          <w:sz w:val="19"/>
          <w:szCs w:val="19"/>
        </w:rPr>
        <w:t>Description</w:t>
      </w:r>
      <w:r>
        <w:rPr>
          <w:rFonts w:hint="default" w:ascii="Arial" w:hAnsi="Arial" w:cs="Arial"/>
          <w:b w:val="0"/>
          <w:bCs w:val="0"/>
          <w:sz w:val="19"/>
          <w:szCs w:val="19"/>
        </w:rPr>
        <w:t xml:space="preserve"> fields. </w:t>
      </w:r>
    </w:p>
    <w:p w14:paraId="6D95BA74">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Negative quantities indicating returned or cancelled transactions. </w:t>
      </w:r>
    </w:p>
    <w:p w14:paraId="3BDB92A8">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Negative unit prices requiring validation and investigation. </w:t>
      </w:r>
    </w:p>
    <w:p w14:paraId="5BDC1E28">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Duplicate transaction records that could lead to inaccurate reporting. </w:t>
      </w:r>
    </w:p>
    <w:p w14:paraId="5840AD71">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Inconsistent data formats across certain fields. </w:t>
      </w:r>
    </w:p>
    <w:p w14:paraId="2EE68093">
      <w:pPr>
        <w:keepNext w:val="0"/>
        <w:keepLines w:val="0"/>
        <w:widowControl/>
        <w:numPr>
          <w:ilvl w:val="0"/>
          <w:numId w:val="1"/>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Cancelled invoices (Invoice Numbers beginning w</w:t>
      </w:r>
      <w:r>
        <w:rPr>
          <w:rFonts w:hint="default" w:ascii="Arial" w:hAnsi="Arial" w:cs="Arial"/>
          <w:b w:val="0"/>
          <w:bCs w:val="0"/>
          <w:sz w:val="19"/>
          <w:szCs w:val="19"/>
        </w:rPr>
        <w:t xml:space="preserve">ith </w:t>
      </w:r>
      <w:r>
        <w:rPr>
          <w:rStyle w:val="10"/>
          <w:rFonts w:hint="default" w:ascii="Arial" w:hAnsi="Arial" w:cs="Arial"/>
          <w:b w:val="0"/>
          <w:bCs w:val="0"/>
          <w:sz w:val="19"/>
          <w:szCs w:val="19"/>
        </w:rPr>
        <w:t>"C"</w:t>
      </w:r>
      <w:r>
        <w:rPr>
          <w:rFonts w:hint="default" w:ascii="Arial" w:hAnsi="Arial" w:cs="Arial"/>
          <w:b w:val="0"/>
          <w:bCs w:val="0"/>
          <w:sz w:val="19"/>
          <w:szCs w:val="19"/>
        </w:rPr>
        <w:t>) m</w:t>
      </w:r>
      <w:r>
        <w:rPr>
          <w:rFonts w:hint="default" w:ascii="Arial" w:hAnsi="Arial" w:cs="Arial"/>
          <w:sz w:val="19"/>
          <w:szCs w:val="19"/>
        </w:rPr>
        <w:t>ixed with completed sales transactions.</w:t>
      </w:r>
    </w:p>
    <w:p w14:paraId="7A8936D6">
      <w:pPr>
        <w:pStyle w:val="9"/>
        <w:keepNext w:val="0"/>
        <w:keepLines w:val="0"/>
        <w:widowControl/>
        <w:suppressLineNumbers w:val="0"/>
        <w:rPr>
          <w:rFonts w:hint="default" w:ascii="Arial" w:hAnsi="Arial" w:cs="Arial"/>
          <w:b/>
          <w:bCs/>
          <w:sz w:val="19"/>
          <w:szCs w:val="19"/>
        </w:rPr>
      </w:pPr>
      <w:r>
        <w:rPr>
          <w:rFonts w:hint="default" w:ascii="Arial" w:hAnsi="Arial" w:cs="Arial"/>
          <w:sz w:val="19"/>
          <w:szCs w:val="19"/>
        </w:rPr>
        <w:t>The dataset was successfully cleaned and transformed into an analysis-ready format. Key data quality issues such as missing values, duplicates, cancelled orders, and inconsistent records were addressed to improve the accuracy and reliability of the dashboard insights.</w:t>
      </w:r>
    </w:p>
    <w:p w14:paraId="7B1DAFEB">
      <w:pPr>
        <w:keepNext w:val="0"/>
        <w:keepLines w:val="0"/>
        <w:widowControl/>
        <w:numPr>
          <w:numId w:val="0"/>
        </w:numPr>
        <w:suppressLineNumbers w:val="0"/>
        <w:spacing w:before="0" w:beforeAutospacing="1" w:after="0" w:afterAutospacing="1"/>
        <w:rPr>
          <w:rFonts w:hint="default" w:ascii="Arial" w:hAnsi="Arial" w:cs="Arial"/>
          <w:sz w:val="19"/>
          <w:szCs w:val="19"/>
          <w:lang w:val="en-US"/>
        </w:rPr>
      </w:pPr>
      <w:r>
        <w:rPr>
          <w:rFonts w:hint="default" w:ascii="Arial" w:hAnsi="Arial" w:cs="Arial"/>
          <w:sz w:val="19"/>
          <w:szCs w:val="19"/>
          <w:lang w:val="en-US"/>
        </w:rPr>
        <w:drawing>
          <wp:inline distT="0" distB="0" distL="114300" distR="114300">
            <wp:extent cx="5270500" cy="2776220"/>
            <wp:effectExtent l="0" t="0" r="0" b="5080"/>
            <wp:docPr id="1" name="Picture 1" descr="Onlin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nlinerr"/>
                    <pic:cNvPicPr>
                      <a:picLocks noChangeAspect="1"/>
                    </pic:cNvPicPr>
                  </pic:nvPicPr>
                  <pic:blipFill>
                    <a:blip r:embed="rId6"/>
                    <a:stretch>
                      <a:fillRect/>
                    </a:stretch>
                  </pic:blipFill>
                  <pic:spPr>
                    <a:xfrm>
                      <a:off x="0" y="0"/>
                      <a:ext cx="5270500" cy="2776220"/>
                    </a:xfrm>
                    <a:prstGeom prst="rect">
                      <a:avLst/>
                    </a:prstGeom>
                  </pic:spPr>
                </pic:pic>
              </a:graphicData>
            </a:graphic>
          </wp:inline>
        </w:drawing>
      </w:r>
    </w:p>
    <w:p w14:paraId="329BC21B">
      <w:pPr>
        <w:pStyle w:val="4"/>
        <w:keepNext w:val="0"/>
        <w:keepLines w:val="0"/>
        <w:widowControl/>
        <w:suppressLineNumbers w:val="0"/>
        <w:rPr>
          <w:rFonts w:hint="default" w:ascii="Arial" w:hAnsi="Arial" w:cs="Arial"/>
          <w:b/>
          <w:bCs/>
          <w:color w:val="000000" w:themeColor="text1"/>
          <w:sz w:val="19"/>
          <w:szCs w:val="19"/>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Executive Summary</w:t>
      </w:r>
    </w:p>
    <w:p w14:paraId="345EF9C0">
      <w:pPr>
        <w:pStyle w:val="9"/>
        <w:keepNext w:val="0"/>
        <w:keepLines w:val="0"/>
        <w:widowControl/>
        <w:suppressLineNumbers w:val="0"/>
        <w:rPr>
          <w:rFonts w:hint="default" w:ascii="Arial" w:hAnsi="Arial" w:cs="Arial"/>
          <w:color w:val="000000" w:themeColor="text1"/>
          <w:sz w:val="19"/>
          <w:szCs w:val="19"/>
          <w14:textFill>
            <w14:solidFill>
              <w14:schemeClr w14:val="tx1"/>
            </w14:solidFill>
          </w14:textFill>
        </w:rPr>
      </w:pPr>
      <w:r>
        <w:rPr>
          <w:rFonts w:hint="default" w:ascii="Arial" w:hAnsi="Arial" w:eastAsia="SimSun" w:cs="Arial"/>
          <w:color w:val="000000" w:themeColor="text1"/>
          <w:sz w:val="19"/>
          <w:szCs w:val="19"/>
          <w14:textFill>
            <w14:solidFill>
              <w14:schemeClr w14:val="tx1"/>
            </w14:solidFill>
          </w14:textFill>
        </w:rPr>
        <w:t>The dashboard provides an overview of revenue, customers, products, sales trends, and regional performance. The business shows strong revenue growth across multiple countries, with the United Kingdom as the main revenue driver.</w:t>
      </w:r>
    </w:p>
    <w:p w14:paraId="00BD5B27">
      <w:pPr>
        <w:pStyle w:val="4"/>
        <w:keepNext w:val="0"/>
        <w:keepLines w:val="0"/>
        <w:widowControl/>
        <w:suppressLineNumbers w:val="0"/>
        <w:rPr>
          <w:rFonts w:hint="default" w:ascii="Arial" w:hAnsi="Arial" w:cs="Arial"/>
          <w:b/>
          <w:bCs/>
          <w:color w:val="000000" w:themeColor="text1"/>
          <w:sz w:val="19"/>
          <w:szCs w:val="19"/>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Key KPIs</w:t>
      </w:r>
    </w:p>
    <w:p w14:paraId="092BB0DF">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b w:val="0"/>
          <w:bCs w:val="0"/>
          <w:sz w:val="19"/>
          <w:szCs w:val="19"/>
        </w:rPr>
      </w:pPr>
      <w:r>
        <w:rPr>
          <w:rStyle w:val="10"/>
          <w:rFonts w:hint="default" w:ascii="Arial" w:hAnsi="Arial" w:cs="Arial"/>
          <w:b w:val="0"/>
          <w:bCs w:val="0"/>
          <w:sz w:val="19"/>
          <w:szCs w:val="19"/>
        </w:rPr>
        <w:t>T</w:t>
      </w:r>
      <w:r>
        <w:rPr>
          <w:rStyle w:val="10"/>
          <w:rFonts w:hint="default" w:ascii="Arial" w:hAnsi="Arial" w:cs="Arial"/>
          <w:b w:val="0"/>
          <w:bCs w:val="0"/>
          <w:sz w:val="19"/>
          <w:szCs w:val="19"/>
        </w:rPr>
        <w:t>otal Revenue:</w:t>
      </w:r>
      <w:r>
        <w:rPr>
          <w:rFonts w:hint="default" w:ascii="Arial" w:hAnsi="Arial" w:cs="Arial"/>
          <w:b w:val="0"/>
          <w:bCs w:val="0"/>
          <w:sz w:val="19"/>
          <w:szCs w:val="19"/>
        </w:rPr>
        <w:t xml:space="preserve"> $9.75M </w:t>
      </w:r>
    </w:p>
    <w:p w14:paraId="0EC8283B">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b w:val="0"/>
          <w:bCs w:val="0"/>
          <w:sz w:val="19"/>
          <w:szCs w:val="19"/>
        </w:rPr>
      </w:pPr>
      <w:r>
        <w:rPr>
          <w:rStyle w:val="10"/>
          <w:rFonts w:hint="default" w:ascii="Arial" w:hAnsi="Arial" w:cs="Arial"/>
          <w:b w:val="0"/>
          <w:bCs w:val="0"/>
          <w:sz w:val="19"/>
          <w:szCs w:val="19"/>
        </w:rPr>
        <w:t>Total Orders:</w:t>
      </w:r>
      <w:r>
        <w:rPr>
          <w:rFonts w:hint="default" w:ascii="Arial" w:hAnsi="Arial" w:cs="Arial"/>
          <w:b w:val="0"/>
          <w:bCs w:val="0"/>
          <w:sz w:val="19"/>
          <w:szCs w:val="19"/>
        </w:rPr>
        <w:t xml:space="preserve"> 25.9K </w:t>
      </w:r>
    </w:p>
    <w:p w14:paraId="68E7A2BA">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b w:val="0"/>
          <w:bCs w:val="0"/>
          <w:sz w:val="19"/>
          <w:szCs w:val="19"/>
        </w:rPr>
      </w:pPr>
      <w:r>
        <w:rPr>
          <w:rStyle w:val="10"/>
          <w:rFonts w:hint="default" w:ascii="Arial" w:hAnsi="Arial" w:cs="Arial"/>
          <w:b w:val="0"/>
          <w:bCs w:val="0"/>
          <w:sz w:val="19"/>
          <w:szCs w:val="19"/>
        </w:rPr>
        <w:t>Total Customers:</w:t>
      </w:r>
      <w:r>
        <w:rPr>
          <w:rFonts w:hint="default" w:ascii="Arial" w:hAnsi="Arial" w:cs="Arial"/>
          <w:b w:val="0"/>
          <w:bCs w:val="0"/>
          <w:sz w:val="19"/>
          <w:szCs w:val="19"/>
        </w:rPr>
        <w:t xml:space="preserve"> 4.4K </w:t>
      </w:r>
    </w:p>
    <w:p w14:paraId="06950ACD">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b w:val="0"/>
          <w:bCs w:val="0"/>
          <w:sz w:val="19"/>
          <w:szCs w:val="19"/>
        </w:rPr>
      </w:pPr>
      <w:r>
        <w:rPr>
          <w:rStyle w:val="10"/>
          <w:rFonts w:hint="default" w:ascii="Arial" w:hAnsi="Arial" w:cs="Arial"/>
          <w:b w:val="0"/>
          <w:bCs w:val="0"/>
          <w:sz w:val="19"/>
          <w:szCs w:val="19"/>
        </w:rPr>
        <w:t>Average Order Value:</w:t>
      </w:r>
      <w:r>
        <w:rPr>
          <w:rFonts w:hint="default" w:ascii="Arial" w:hAnsi="Arial" w:cs="Arial"/>
          <w:b w:val="0"/>
          <w:bCs w:val="0"/>
          <w:sz w:val="19"/>
          <w:szCs w:val="19"/>
        </w:rPr>
        <w:t xml:space="preserve"> $17.99 </w:t>
      </w:r>
    </w:p>
    <w:p w14:paraId="107BBD12">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Style w:val="10"/>
          <w:rFonts w:hint="default" w:ascii="Arial" w:hAnsi="Arial" w:cs="Arial"/>
          <w:b w:val="0"/>
          <w:bCs w:val="0"/>
          <w:sz w:val="19"/>
          <w:szCs w:val="19"/>
        </w:rPr>
        <w:t>Return Rate:</w:t>
      </w:r>
      <w:r>
        <w:rPr>
          <w:rFonts w:hint="default" w:ascii="Arial" w:hAnsi="Arial" w:cs="Arial"/>
          <w:b w:val="0"/>
          <w:bCs w:val="0"/>
          <w:sz w:val="19"/>
          <w:szCs w:val="19"/>
        </w:rPr>
        <w:t xml:space="preserve"> 20% </w:t>
      </w:r>
    </w:p>
    <w:p w14:paraId="48AF8A2B">
      <w:pPr>
        <w:keepNext w:val="0"/>
        <w:keepLines w:val="0"/>
        <w:widowControl/>
        <w:numPr>
          <w:numId w:val="0"/>
        </w:numPr>
        <w:suppressLineNumbers w:val="0"/>
        <w:spacing w:before="0" w:beforeAutospacing="1" w:after="0" w:afterAutospacing="1"/>
        <w:ind w:leftChars="0"/>
        <w:rPr>
          <w:rFonts w:hint="default" w:ascii="Arial" w:hAnsi="Arial" w:cs="Arial"/>
          <w:sz w:val="19"/>
          <w:szCs w:val="19"/>
        </w:rPr>
      </w:pPr>
      <w:r>
        <w:rPr>
          <w:rFonts w:hint="default" w:ascii="Arial" w:hAnsi="Arial" w:cs="Arial"/>
          <w:sz w:val="19"/>
          <w:szCs w:val="19"/>
        </w:rPr>
        <w:t>Overall, the business shows strong sales performance and customer engagement, though the 20% return rate highlights potential issues in product satisfaction or order quality.</w:t>
      </w:r>
    </w:p>
    <w:p w14:paraId="04FA0433">
      <w:pPr>
        <w:pStyle w:val="4"/>
        <w:keepNext w:val="0"/>
        <w:keepLines w:val="0"/>
        <w:widowControl/>
        <w:suppressLineNumbers w:val="0"/>
        <w:rPr>
          <w:rFonts w:hint="default" w:ascii="Arial" w:hAnsi="Arial" w:cs="Arial"/>
          <w:b/>
          <w:bCs/>
          <w:color w:val="000000" w:themeColor="text1"/>
          <w:sz w:val="19"/>
          <w:szCs w:val="19"/>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Key Insights</w:t>
      </w:r>
    </w:p>
    <w:p w14:paraId="527F55BD">
      <w:pPr>
        <w:pStyle w:val="5"/>
        <w:keepNext w:val="0"/>
        <w:keepLines w:val="0"/>
        <w:widowControl/>
        <w:suppressLineNumbers w:val="0"/>
        <w:rPr>
          <w:rFonts w:hint="default" w:ascii="Arial" w:hAnsi="Arial" w:cs="Arial"/>
          <w:sz w:val="19"/>
          <w:szCs w:val="19"/>
        </w:rPr>
      </w:pPr>
      <w:r>
        <w:rPr>
          <w:rFonts w:hint="default" w:ascii="Arial" w:hAnsi="Arial" w:cs="Arial"/>
          <w:sz w:val="19"/>
          <w:szCs w:val="19"/>
        </w:rPr>
        <w:t>Product Performance</w:t>
      </w:r>
    </w:p>
    <w:p w14:paraId="0627EFD1">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i w:val="0"/>
          <w:iCs w:val="0"/>
          <w:sz w:val="19"/>
          <w:szCs w:val="19"/>
        </w:rPr>
      </w:pPr>
      <w:r>
        <w:rPr>
          <w:rStyle w:val="8"/>
          <w:rFonts w:hint="default" w:ascii="Arial" w:hAnsi="Arial" w:cs="Arial"/>
          <w:i w:val="0"/>
          <w:iCs w:val="0"/>
          <w:sz w:val="19"/>
          <w:szCs w:val="19"/>
        </w:rPr>
        <w:t>JUMBO BAG RED RETROSPOT</w:t>
      </w:r>
      <w:r>
        <w:rPr>
          <w:rFonts w:hint="default" w:ascii="Arial" w:hAnsi="Arial" w:cs="Arial"/>
          <w:i w:val="0"/>
          <w:iCs w:val="0"/>
          <w:sz w:val="19"/>
          <w:szCs w:val="19"/>
        </w:rPr>
        <w:t xml:space="preserve"> was the top-selling product by quantity. </w:t>
      </w:r>
    </w:p>
    <w:p w14:paraId="343E7E40">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Style w:val="8"/>
          <w:rFonts w:hint="default" w:ascii="Arial" w:hAnsi="Arial" w:cs="Arial"/>
          <w:i w:val="0"/>
          <w:iCs w:val="0"/>
          <w:sz w:val="19"/>
          <w:szCs w:val="19"/>
        </w:rPr>
        <w:t>WHITE HANGING HEART T-LIGHT HOLDER</w:t>
      </w:r>
      <w:r>
        <w:rPr>
          <w:rFonts w:hint="default" w:ascii="Arial" w:hAnsi="Arial" w:cs="Arial"/>
          <w:i w:val="0"/>
          <w:iCs w:val="0"/>
          <w:sz w:val="19"/>
          <w:szCs w:val="19"/>
        </w:rPr>
        <w:t xml:space="preserve"> </w:t>
      </w:r>
      <w:r>
        <w:rPr>
          <w:rFonts w:hint="default" w:ascii="Arial" w:hAnsi="Arial" w:cs="Arial"/>
          <w:sz w:val="19"/>
          <w:szCs w:val="19"/>
        </w:rPr>
        <w:t xml:space="preserve">was the most frequently purchased item. </w:t>
      </w:r>
    </w:p>
    <w:p w14:paraId="7F0ABE93">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Decorative home and gift products dominated sales. </w:t>
      </w:r>
    </w:p>
    <w:p w14:paraId="30E7FCA8">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A small group of products generated a large share of total revenue, showing a concentrated demand pattern. </w:t>
      </w:r>
    </w:p>
    <w:p w14:paraId="5940675A">
      <w:pPr>
        <w:pStyle w:val="5"/>
        <w:keepNext w:val="0"/>
        <w:keepLines w:val="0"/>
        <w:widowControl/>
        <w:suppressLineNumbers w:val="0"/>
        <w:rPr>
          <w:rFonts w:hint="default" w:ascii="Arial" w:hAnsi="Arial" w:cs="Arial"/>
          <w:sz w:val="19"/>
          <w:szCs w:val="19"/>
        </w:rPr>
      </w:pPr>
      <w:r>
        <w:rPr>
          <w:rFonts w:hint="default" w:ascii="Arial" w:hAnsi="Arial" w:cs="Arial"/>
          <w:sz w:val="19"/>
          <w:szCs w:val="19"/>
        </w:rPr>
        <w:t>Sales Trends</w:t>
      </w:r>
    </w:p>
    <w:p w14:paraId="08317560">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Revenue showed steady growth across the period. </w:t>
      </w:r>
    </w:p>
    <w:p w14:paraId="27777C80">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Quarterly sales rose from about $342K in late 2010 to over $1.5M by late 2011. </w:t>
      </w:r>
    </w:p>
    <w:p w14:paraId="6E96719C">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This indicates sustained demand and positive sales momentum. </w:t>
      </w:r>
    </w:p>
    <w:p w14:paraId="5E381A53">
      <w:pPr>
        <w:pStyle w:val="5"/>
        <w:keepNext w:val="0"/>
        <w:keepLines w:val="0"/>
        <w:widowControl/>
        <w:suppressLineNumbers w:val="0"/>
        <w:rPr>
          <w:rFonts w:hint="default" w:ascii="Arial" w:hAnsi="Arial" w:cs="Arial"/>
          <w:sz w:val="19"/>
          <w:szCs w:val="19"/>
        </w:rPr>
      </w:pPr>
      <w:r>
        <w:rPr>
          <w:rFonts w:hint="default" w:ascii="Arial" w:hAnsi="Arial" w:cs="Arial"/>
          <w:sz w:val="19"/>
          <w:szCs w:val="19"/>
        </w:rPr>
        <w:t>Regional Performance</w:t>
      </w:r>
    </w:p>
    <w:p w14:paraId="3C514422">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The United Kingdom accounted for over $8M in revenue, dominating overall sales. </w:t>
      </w:r>
    </w:p>
    <w:p w14:paraId="454E8A2F">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Other key markets included the Netherlands, Ireland, Germany, and France. </w:t>
      </w:r>
    </w:p>
    <w:p w14:paraId="295B23B9">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Heavy reliance on the UK market presents both strength and concentration risk. </w:t>
      </w:r>
    </w:p>
    <w:p w14:paraId="158DD915">
      <w:pPr>
        <w:pStyle w:val="5"/>
        <w:keepNext w:val="0"/>
        <w:keepLines w:val="0"/>
        <w:widowControl/>
        <w:suppressLineNumbers w:val="0"/>
        <w:rPr>
          <w:rFonts w:hint="default" w:ascii="Arial" w:hAnsi="Arial" w:cs="Arial"/>
          <w:sz w:val="19"/>
          <w:szCs w:val="19"/>
        </w:rPr>
      </w:pPr>
      <w:r>
        <w:rPr>
          <w:rFonts w:hint="default" w:ascii="Arial" w:hAnsi="Arial" w:cs="Arial"/>
          <w:sz w:val="19"/>
          <w:szCs w:val="19"/>
        </w:rPr>
        <w:t>Customer Activity</w:t>
      </w:r>
    </w:p>
    <w:p w14:paraId="28005E69">
      <w:pPr>
        <w:pStyle w:val="5"/>
        <w:keepNext w:val="0"/>
        <w:keepLines w:val="0"/>
        <w:widowControl/>
        <w:numPr>
          <w:ilvl w:val="0"/>
          <w:numId w:val="2"/>
        </w:numPr>
        <w:suppressLineNumbers w:val="0"/>
        <w:ind w:left="420" w:leftChars="0" w:hanging="420" w:firstLineChars="0"/>
        <w:rPr>
          <w:rFonts w:hint="default" w:ascii="Arial" w:hAnsi="Arial" w:cs="Arial"/>
          <w:b w:val="0"/>
          <w:bCs w:val="0"/>
          <w:sz w:val="19"/>
          <w:szCs w:val="19"/>
        </w:rPr>
      </w:pPr>
      <w:r>
        <w:rPr>
          <w:rFonts w:hint="default" w:ascii="Arial" w:hAnsi="Arial" w:cs="Arial"/>
          <w:b w:val="0"/>
          <w:bCs w:val="0"/>
          <w:sz w:val="19"/>
          <w:szCs w:val="19"/>
        </w:rPr>
        <w:t xml:space="preserve">Customer behavior is highly concentrated, with a small group driving a large share of purchases. </w:t>
      </w:r>
    </w:p>
    <w:p w14:paraId="04FA61C5">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Repeat customers contribute significantly to revenue, indicating strong retention. </w:t>
      </w:r>
    </w:p>
    <w:p w14:paraId="2D480E2D">
      <w:pPr>
        <w:keepNext w:val="0"/>
        <w:keepLines w:val="0"/>
        <w:widowControl/>
        <w:numPr>
          <w:ilvl w:val="0"/>
          <w:numId w:val="2"/>
        </w:numPr>
        <w:suppressLineNumbers w:val="0"/>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With over 4,000 customers, there is opportunity for deeper segmentation and targeted marketing.</w:t>
      </w:r>
    </w:p>
    <w:p w14:paraId="35931B96">
      <w:pPr>
        <w:pStyle w:val="4"/>
        <w:keepNext w:val="0"/>
        <w:keepLines w:val="0"/>
        <w:widowControl/>
        <w:suppressLineNumbers w:val="0"/>
        <w:rPr>
          <w:rFonts w:hint="default" w:ascii="Arial" w:hAnsi="Arial" w:cs="Arial"/>
          <w:b/>
          <w:bCs/>
          <w:color w:val="000000" w:themeColor="text1"/>
          <w:sz w:val="19"/>
          <w:szCs w:val="19"/>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Recommendations</w:t>
      </w:r>
    </w:p>
    <w:p w14:paraId="30F32834">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Increase inventory and promotional efforts for high-demand products such as JUMBO BAG RED RETROSPOT and WHITE HANGING HEART T-LIGHT HOLDER. </w:t>
      </w:r>
    </w:p>
    <w:p w14:paraId="5242BB62">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Develop customer retention programs to encourage repeat purchases from high-value customers. </w:t>
      </w:r>
    </w:p>
    <w:p w14:paraId="4EA93B85">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Expand marketing and sales initiatives in non-UK markets to reduce reliance</w:t>
      </w:r>
      <w:r>
        <w:rPr>
          <w:rFonts w:hint="default" w:ascii="Arial" w:hAnsi="Arial" w:cs="Arial"/>
          <w:sz w:val="19"/>
          <w:szCs w:val="19"/>
          <w:lang w:val="en-US"/>
        </w:rPr>
        <w:t xml:space="preserve"> </w:t>
      </w:r>
      <w:r>
        <w:rPr>
          <w:rFonts w:hint="default" w:ascii="Arial" w:hAnsi="Arial" w:cs="Arial"/>
          <w:sz w:val="19"/>
          <w:szCs w:val="19"/>
        </w:rPr>
        <w:t xml:space="preserve">on a single country. </w:t>
      </w:r>
    </w:p>
    <w:p w14:paraId="725DE61E">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Investigate the </w:t>
      </w:r>
      <w:r>
        <w:rPr>
          <w:rStyle w:val="10"/>
          <w:rFonts w:hint="default" w:ascii="Arial" w:hAnsi="Arial" w:cs="Arial"/>
          <w:sz w:val="19"/>
          <w:szCs w:val="19"/>
        </w:rPr>
        <w:t>20% return rate</w:t>
      </w:r>
      <w:r>
        <w:rPr>
          <w:rFonts w:hint="default" w:ascii="Arial" w:hAnsi="Arial" w:cs="Arial"/>
          <w:sz w:val="19"/>
          <w:szCs w:val="19"/>
        </w:rPr>
        <w:t xml:space="preserve"> to identify common causes of returns and implement </w:t>
      </w:r>
      <w:bookmarkStart w:id="0" w:name="_GoBack"/>
      <w:r>
        <w:rPr>
          <w:rFonts w:hint="default" w:ascii="Arial" w:hAnsi="Arial" w:cs="Arial"/>
          <w:sz w:val="19"/>
          <w:szCs w:val="19"/>
        </w:rPr>
        <w:t xml:space="preserve">corrective actions. </w:t>
      </w:r>
    </w:p>
    <w:bookmarkEnd w:id="0"/>
    <w:p w14:paraId="15BB424D">
      <w:pPr>
        <w:keepNext w:val="0"/>
        <w:keepLines w:val="0"/>
        <w:widowControl/>
        <w:numPr>
          <w:ilvl w:val="0"/>
          <w:numId w:val="2"/>
        </w:numPr>
        <w:suppressLineNumbers w:val="0"/>
        <w:tabs>
          <w:tab w:val="clear" w:pos="420"/>
        </w:tabs>
        <w:spacing w:before="0" w:beforeAutospacing="1" w:after="0" w:afterAutospacing="1"/>
        <w:ind w:left="420" w:leftChars="0" w:hanging="420" w:firstLineChars="0"/>
        <w:rPr>
          <w:rFonts w:hint="default" w:ascii="Arial" w:hAnsi="Arial" w:cs="Arial"/>
          <w:sz w:val="19"/>
          <w:szCs w:val="19"/>
        </w:rPr>
      </w:pPr>
      <w:r>
        <w:rPr>
          <w:rFonts w:hint="default" w:ascii="Arial" w:hAnsi="Arial" w:cs="Arial"/>
          <w:sz w:val="19"/>
          <w:szCs w:val="19"/>
        </w:rPr>
        <w:t xml:space="preserve">Use customer purchasing patterns to create personalized marketing campaigns and cross-selling opportunities. </w:t>
      </w:r>
    </w:p>
    <w:p w14:paraId="4431EF02">
      <w:pPr>
        <w:pStyle w:val="4"/>
        <w:keepNext w:val="0"/>
        <w:keepLines w:val="0"/>
        <w:widowControl/>
        <w:suppressLineNumbers w:val="0"/>
        <w:rPr>
          <w:rFonts w:hint="default" w:ascii="Arial" w:hAnsi="Arial" w:cs="Arial"/>
          <w:b/>
          <w:bCs/>
          <w:color w:val="000000" w:themeColor="text1"/>
          <w:sz w:val="19"/>
          <w:szCs w:val="19"/>
          <w14:textFill>
            <w14:solidFill>
              <w14:schemeClr w14:val="tx1"/>
            </w14:solidFill>
          </w14:textFill>
        </w:rPr>
      </w:pPr>
      <w:r>
        <w:rPr>
          <w:rFonts w:hint="default" w:ascii="Arial" w:hAnsi="Arial" w:cs="Arial"/>
          <w:b/>
          <w:bCs/>
          <w:color w:val="000000" w:themeColor="text1"/>
          <w:sz w:val="19"/>
          <w:szCs w:val="19"/>
          <w14:textFill>
            <w14:solidFill>
              <w14:schemeClr w14:val="tx1"/>
            </w14:solidFill>
          </w14:textFill>
        </w:rPr>
        <w:t>Conclusion</w:t>
      </w:r>
    </w:p>
    <w:p w14:paraId="60FEDE00">
      <w:pPr>
        <w:pStyle w:val="9"/>
        <w:keepNext w:val="0"/>
        <w:keepLines w:val="0"/>
        <w:widowControl/>
        <w:suppressLineNumbers w:val="0"/>
        <w:rPr>
          <w:rFonts w:hint="default" w:ascii="Arial" w:hAnsi="Arial" w:cs="Arial"/>
          <w:sz w:val="19"/>
          <w:szCs w:val="19"/>
        </w:rPr>
      </w:pPr>
      <w:r>
        <w:rPr>
          <w:rFonts w:hint="default" w:ascii="Arial" w:hAnsi="Arial" w:cs="Arial"/>
          <w:sz w:val="19"/>
          <w:szCs w:val="19"/>
        </w:rPr>
        <w:t>The dashboard highlights a business experiencing strong revenue growth, driven by popular product lines, a loyal customer base, and dominant performance in the United Kingdom market. While sales trends are highly positive, reducing returns and expanding international market penetration could further improve profitability and long-term business sustainability.</w:t>
      </w:r>
    </w:p>
    <w:p w14:paraId="15B168F2">
      <w:pPr>
        <w:rPr>
          <w:rFonts w:hint="default" w:ascii="Arial" w:hAnsi="Arial" w:cs="Arial"/>
          <w:sz w:val="19"/>
          <w:szCs w:val="19"/>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E1C11"/>
    <w:multiLevelType w:val="singleLevel"/>
    <w:tmpl w:val="DFFE1C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E1DC7B7"/>
    <w:multiLevelType w:val="singleLevel"/>
    <w:tmpl w:val="FE1DC7B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1003B4"/>
    <w:rsid w:val="05E353FC"/>
    <w:rsid w:val="1A1003B4"/>
    <w:rsid w:val="1D4C771A"/>
    <w:rsid w:val="2AA14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cs="Times New Roman"/>
      <w:kern w:val="0"/>
      <w14:ligatures w14:val="none"/>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986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2026-06-09T11:37:00Z</dcterms:created>
  <dc:creator>VIVIAN</dc:creator>
  <cp:lastModifiedBy>VIVIAN</cp:lastModifiedBy>
  <dcterms:modified xsi:type="dcterms:W3CDTF">2026-06-14T17:59:42Z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4290BF160CB04CB4872A34637CE665BC_11</vt:lpwstr>
  </property>
  <property fmtid="{D5CDD505-2E9C-101B-9397-08002B2CF9AE}" pid="4" name="KSOTemplateDocerSaveRecord">
    <vt:lpwstr>eyJoZGlkIjoiODAzZTYwNzFiZGNhMTU4N2ZhNTczN2ZhODExM2FjMWYifQ==</vt:lpwstr>
  </property>
</Properties>
</file>