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TrustLayer</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TrustLayer</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sell the breach that never happened. TrustLayer is the only security provider among Venture City's companies: monitoring by the tick, audits, and compliance attestations. Two regulated companies cannot be licensed without someone like you. Your engine is the best in the city. Your attestations count for nothing until Government approves you as an auditor, and the person who leads your audits may not stay.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31,050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which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Data deal ends unless renewed. Tick 6: your lead auditor leaves unless a retention deal is recorded first; your public target falls due; your anchor's last scheduled payment before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Hosted compute: the engine has to run somewhere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Approved Auditor status, from Government</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We spent years as incident responders. We were very good at it, and we always arrived after the damage. We built TrustLayer so that we could arrive first.</w:t>
      </w:r>
    </w:p>
    <w:p>
      <w:pPr>
        <w:pBdr>
          <w:left w:val="single" w:color="2E7D7A" w:sz="18" w:space="10"/>
        </w:pBdr>
        <w:spacing w:after="80" w:line="276"/>
        <w:ind w:left="360"/>
      </w:pPr>
      <w:r>
        <w:rPr>
          <w:rFonts w:ascii="Calibri" w:cs="Calibri" w:eastAsia="Calibri" w:hAnsi="Calibri"/>
          <w:i/>
          <w:iCs/>
          <w:color w:val="333333"/>
        </w:rPr>
        <w:t xml:space="preserve">The engine works. Last quarter it caught three intrusions at our anchor client and nobody outside this room knows. That is the problem in one sentence: when we do our job perfectly, nothing happens, and nobody pays for nothing.</w:t>
      </w:r>
    </w:p>
    <w:p>
      <w:pPr>
        <w:pBdr>
          <w:left w:val="single" w:color="2E7D7A" w:sz="18" w:space="10"/>
        </w:pBdr>
        <w:spacing w:after="80" w:line="276"/>
        <w:ind w:left="360"/>
      </w:pPr>
      <w:r>
        <w:rPr>
          <w:rFonts w:ascii="Calibri" w:cs="Calibri" w:eastAsia="Calibri" w:hAnsi="Calibri"/>
          <w:i/>
          <w:iCs/>
          <w:color w:val="333333"/>
        </w:rPr>
        <w:t xml:space="preserve">You have strong analysts, a lead auditor we cannot afford to lose, and nobody who knows how to tell the story. Show results. Keep your promises small and your evidence large.</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Cybersecurity and compliance software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Founded by two former incident responders tired of arriving after the damage. The engine is good; selling a loss that has not happened yet is slow. Analysts run the building and never overstate a finding.</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business in the city secure enough to be trusted with other people's money and data.</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Monitoring sold by the tick; one-off audits; compliance attestations once approved as an auditor.</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Regulated and data-heavy companies; large regulated customers at the Customer desk.</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security provider among the companies. Your real rival is Government's own security review, which any company can use instead of you.</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threat-detection engine better than anything else in the city.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Respected by engineers; seen by buyers as a cost.</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Risk Guardian</w:t>
      </w:r>
      <w:r>
        <w:rPr>
          <w:rFonts w:ascii="Calibri" w:cs="Calibri" w:eastAsia="Calibri" w:hAnsi="Calibri"/>
        </w:rPr>
        <w:t xml:space="preserve">: evidence before money; no credit without proof; tends to miss fast opportunities.</w:t>
      </w:r>
    </w:p>
    <w:p>
      <w:pPr>
        <w:spacing w:after="120" w:line="276"/>
      </w:pPr>
      <w:r>
        <w:rPr>
          <w:rFonts w:ascii="Calibri" w:cs="Calibri" w:eastAsia="Calibri" w:hAnsi="Calibri"/>
        </w:rPr>
        <w:t xml:space="preserve">Your staff are strong in technology: analysts. You are </w:t>
      </w:r>
      <w:r>
        <w:rPr>
          <w:rFonts w:ascii="Calibri" w:cs="Calibri" w:eastAsia="Calibri" w:hAnsi="Calibri"/>
          <w:b/>
          <w:bCs/>
        </w:rPr>
        <w:t xml:space="preserve">one person short in Brand / Community</w:t>
      </w:r>
      <w:r>
        <w:rPr>
          <w:rFonts w:ascii="Calibri" w:cs="Calibri" w:eastAsia="Calibri" w:hAnsi="Calibri"/>
        </w:rPr>
        <w:t xml:space="preserve">: nobody can make the case for prevention.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before Tick 6.</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31,050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threat-detection engine, book value 6,000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Very High, Compute High, Infrastructure Medium, Energy Low, Logistics Low, Materials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7"/>
        <w:gridCol w:w="4180"/>
        <w:gridCol w:w="4181"/>
      </w:tblGrid>
      <w:tr>
        <w:trPr>
          <w:tblHeader/>
        </w:trPr>
        <w:tc>
          <w:tcPr>
            <w:tcW w:type="dxa" w:w="127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18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Security monitoring</w:t>
            </w:r>
          </w:p>
        </w:tc>
        <w:tc>
          <w:tcPr>
            <w:tcW w:type="dxa" w:w="418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Compliance audit and attestation</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tick of monitoring for one client: counts as security cover for that tick, and meets any customer card that names security as a must-have</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audit of the buyer's systems; once you are an Approved Auditor, it comes with an attestation that counts as security evidence in a Government licence application</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Data, 1 Compute</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 Data, 1 Compute</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200 / 150</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800 / 600</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and large customers</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and large customers</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attestation needs Approved Auditor status</w:t>
            </w:r>
          </w:p>
        </w:tc>
      </w:tr>
    </w:tbl>
    <w:p>
      <w:pPr>
        <w:spacing w:after="80"/>
      </w:pPr>
    </w:p>
    <w:p>
      <w:pPr>
        <w:spacing w:after="120" w:line="276"/>
      </w:pPr>
      <w:r>
        <w:rPr>
          <w:rFonts w:ascii="Calibri" w:cs="Calibri" w:eastAsia="Calibri" w:hAnsi="Calibri"/>
        </w:rPr>
        <w:t xml:space="preserve">Your attestation lets a buyer skip Government's own security review, which costs 1,500 VB and takes 2 ticks. Government still issues the licence.</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Civic Insurance Mutual</w:t>
            </w:r>
            <w:r>
              <w:rPr>
                <w:rFonts w:ascii="Calibri" w:cs="Calibri" w:eastAsia="Calibri" w:hAnsi="Calibri"/>
                <w:sz w:val="19"/>
                <w:szCs w:val="19"/>
              </w:rPr>
              <w:t xml:space="preserve">: 1 monitoring unit every tick at 900 VB, Ticks 1 to 6 (5,400 VB). Then up for renewal at the Customer desk.</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OpenData Exchange</w:t>
            </w:r>
            <w:r>
              <w:rPr>
                <w:rFonts w:ascii="Calibri" w:cs="Calibri" w:eastAsia="Calibri" w:hAnsi="Calibri"/>
                <w:sz w:val="19"/>
                <w:szCs w:val="19"/>
              </w:rPr>
              <w:t xml:space="preserve">: Data at 22 VB a unit (12% below normal), up to 12 a tick. Ends at Tick 4 unless you commit to 3 ticks at 12 units.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Key person</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lead auditor (Product / Build) leaves at Tick 6 unless a retention deal is recorded first.</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StackHouse</w:t>
            </w:r>
            <w:r>
              <w:rPr>
                <w:rFonts w:ascii="Calibri" w:cs="Calibri" w:eastAsia="Calibri" w:hAnsi="Calibri"/>
                <w:sz w:val="19"/>
                <w:szCs w:val="19"/>
              </w:rPr>
              <w:t xml:space="preserve">, the city's compute host: "Hosted compute for the threat-detection engine." A recorded need, not a contract.</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Memoranda you hold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Ledgerly</w:t>
            </w:r>
            <w:r>
              <w:rPr>
                <w:rFonts w:ascii="Calibri" w:cs="Calibri" w:eastAsia="Calibri" w:hAnsi="Calibri"/>
                <w:sz w:val="19"/>
                <w:szCs w:val="19"/>
              </w:rPr>
              <w:t xml:space="preserve">, a payments company: "Security monitoring and an audit that counts toward the payments licence." From </w:t>
            </w:r>
            <w:r>
              <w:rPr>
                <w:rFonts w:ascii="Calibri" w:cs="Calibri" w:eastAsia="Calibri" w:hAnsi="Calibri"/>
                <w:b/>
                <w:bCs/>
                <w:sz w:val="19"/>
                <w:szCs w:val="19"/>
              </w:rPr>
              <w:t xml:space="preserve">MediLink</w:t>
            </w:r>
            <w:r>
              <w:rPr>
                <w:rFonts w:ascii="Calibri" w:cs="Calibri" w:eastAsia="Calibri" w:hAnsi="Calibri"/>
                <w:sz w:val="19"/>
                <w:szCs w:val="19"/>
              </w:rPr>
              <w:t xml:space="preserve">, a health marketplace: "Security cover and an attestation to close the data compliance gap." Their needs, not contracts.</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Civic Insurance Mutual</w:t>
      </w:r>
      <w:r>
        <w:rPr>
          <w:rFonts w:ascii="Calibri" w:cs="Calibri" w:eastAsia="Calibri" w:hAnsi="Calibri"/>
        </w:rPr>
        <w:t xml:space="preserve"> is your only steady income. Its board sees you as a cost line, and renewal will depend on whether it can show what it got for the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3"/>
        <w:gridCol w:w="7745"/>
      </w:tblGrid>
      <w:tr>
        <w:trPr>
          <w:tblHeader/>
        </w:trPr>
        <w:tc>
          <w:tcPr>
            <w:tcW w:type="dxa" w:w="189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74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8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Pinecrest Clinics</w:t>
            </w:r>
          </w:p>
        </w:tc>
        <w:tc>
          <w:tcPr>
            <w:tcW w:type="dxa" w:w="774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that wants monitoring and a compliance attestation. The attestation must come from an Approved Auditor.</w:t>
            </w:r>
          </w:p>
        </w:tc>
      </w:tr>
      <w:tr>
        <w:trPr>
          <w:cantSplit/>
        </w:trPr>
        <w:tc>
          <w:tcPr>
            <w:tcW w:type="dxa" w:w="189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payments firm</w:t>
            </w:r>
          </w:p>
        </w:tc>
        <w:tc>
          <w:tcPr>
            <w:tcW w:type="dxa" w:w="774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Needs security cover before it can be licensed: monitoring now, an audit and attestation once you are approved.</w:t>
            </w:r>
          </w:p>
        </w:tc>
      </w:tr>
      <w:tr>
        <w:trPr>
          <w:cantSplit/>
        </w:trPr>
        <w:tc>
          <w:tcPr>
            <w:tcW w:type="dxa" w:w="18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city's data centre</w:t>
            </w:r>
          </w:p>
        </w:tc>
        <w:tc>
          <w:tcPr>
            <w:tcW w:type="dxa" w:w="774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Has idle capacity. You need hosted compute, and idle capacity is a buyer's market.</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2969"/>
        <w:gridCol w:w="5044"/>
      </w:tblGrid>
      <w:tr>
        <w:trPr>
          <w:tblHeader/>
        </w:trPr>
        <w:tc>
          <w:tcPr>
            <w:tcW w:type="dxa" w:w="16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96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04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6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Hosted compute</w:t>
            </w:r>
            <w:r>
              <w:rPr>
                <w:rFonts w:ascii="Calibri" w:cs="Calibri" w:eastAsia="Calibri" w:hAnsi="Calibri"/>
                <w:sz w:val="19"/>
                <w:szCs w:val="19"/>
              </w:rPr>
              <w:t xml:space="preserve"> (critical)</w:t>
            </w:r>
          </w:p>
        </w:tc>
        <w:tc>
          <w:tcPr>
            <w:tcW w:type="dxa" w:w="296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StackHouse, your memorandum partner, and maybe others</w:t>
            </w:r>
          </w:p>
        </w:tc>
        <w:tc>
          <w:tcPr>
            <w:tcW w:type="dxa" w:w="504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at about 10% below the Bank's 20, minimum order 20; the Bank at 20, up to 30 a tick</w:t>
            </w:r>
          </w:p>
        </w:tc>
      </w:tr>
      <w:tr>
        <w:trPr>
          <w:cantSplit/>
        </w:trPr>
        <w:tc>
          <w:tcPr>
            <w:tcW w:type="dxa" w:w="16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Trained talent</w:t>
            </w:r>
          </w:p>
        </w:tc>
        <w:tc>
          <w:tcPr>
            <w:tcW w:type="dxa" w:w="296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training business, if one is in the city</w:t>
            </w:r>
          </w:p>
        </w:tc>
        <w:tc>
          <w:tcPr>
            <w:tcW w:type="dxa" w:w="504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Talent Exchange</w:t>
            </w:r>
          </w:p>
        </w:tc>
      </w:tr>
      <w:tr>
        <w:trPr>
          <w:cantSplit/>
        </w:trPr>
        <w:tc>
          <w:tcPr>
            <w:tcW w:type="dxa" w:w="16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Verified datasets</w:t>
            </w:r>
          </w:p>
        </w:tc>
        <w:tc>
          <w:tcPr>
            <w:tcW w:type="dxa" w:w="296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data business, if one is in the city</w:t>
            </w:r>
          </w:p>
        </w:tc>
        <w:tc>
          <w:tcPr>
            <w:tcW w:type="dxa" w:w="504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Market's Data, about 10% below the Bank's 25</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security and compliance: Ledgerly and MediLink, whose memoranda you hold, and possibly an analytics firm or a compute host. Large regulated customers want monitoring and attestations too. </w:t>
      </w:r>
      <w:r>
        <w:rPr>
          <w:rFonts w:ascii="Calibri" w:cs="Calibri" w:eastAsia="Calibri" w:hAnsi="Calibri"/>
          <w:b/>
          <w:bCs/>
        </w:rPr>
        <w:t xml:space="preserve">Your rival is the regulator:</w:t>
      </w:r>
      <w:r>
        <w:rPr>
          <w:rFonts w:ascii="Calibri" w:cs="Calibri" w:eastAsia="Calibri" w:hAnsi="Calibri"/>
        </w:rPr>
        <w:t xml:space="preserve"> Government's review is slower and dearer than your attestation, but it is always there.</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Data. Every monitoring unit uses one more; every audit uses two.</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to sell prevention.</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your attestations do not count until you are an Approved Auditor; the lead auditor leaves at Tick 6 without a retention deal, and Government wants a lead auditor at Level 2 for approval.</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Become an Approved Auditor and issue one attestation</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Provide security cover to 2 regulated companies by Tick 6</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sell monitoring to the regulated companies that need cover before they can be licensed; renew the anchor on better terms.</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compute host has idle halls and may sell hosting cheap; a payments firm cannot be licensed without security.</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make the attestation the product and become compliance-as-a-service; build fraud detection for payment businesses; set up a security training unit with a training business; merge with a payments firm or the compute host.</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engine caught three intrusions at our anchor client last quarter, and nobody outside knows."</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compute host has half its halls empty and would rather sell cheap than sit idle."</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major breach is coming; someone in the city has already been hit."</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"One of our monitored clients ignored our last three patch warnings."</w:t>
            </w:r>
          </w:p>
        </w:tc>
      </w:tr>
    </w:tbl>
    <w:p>
      <w:pPr>
        <w:spacing w:after="80"/>
      </w:pPr>
    </w:p>
    <w:p>
      <w:pPr>
        <w:spacing w:after="120" w:line="276"/>
      </w:pPr>
      <w:r>
        <w:rPr>
          <w:rFonts w:ascii="Calibri" w:cs="Calibri" w:eastAsia="Calibri" w:hAnsi="Calibri"/>
        </w:rPr>
        <w:t xml:space="preserve">You also see attacks against your clients before anyone else. 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Approved Auditor status only changes whose evidence Government accepts; licences still go through Government's standard process.</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TrustLayer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TrustLayer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TrustLayer Founder Dossier</dc:title>
  <dc:creator>Venture City GM team</dc:creator>
  <cp:lastModifiedBy>Un-named</cp:lastModifiedBy>
  <cp:revision>1</cp:revision>
  <dcterms:created xsi:type="dcterms:W3CDTF">2026-10-05T13:13:30.658Z</dcterms:created>
  <dcterms:modified xsi:type="dcterms:W3CDTF">2026-10-05T13:13:30.658Z</dcterms:modified>
</cp:coreProperties>
</file>

<file path=docProps/custom.xml><?xml version="1.0" encoding="utf-8"?>
<Properties xmlns="http://schemas.openxmlformats.org/officeDocument/2006/custom-properties" xmlns:vt="http://schemas.openxmlformats.org/officeDocument/2006/docPropsVTypes"/>
</file>