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t>Voltway</w:t>
      </w:r>
    </w:p>
    <w:p>
      <w:pPr>
        <w:pBdr>
          <w:bottom w:val="single" w:color="2E7D7A" w:sz="12" w:space="8"/>
        </w:pBdr>
        <w:spacing w:after="240"/>
      </w:pPr>
      <w:r>
        <w:t>Saturday 24 October 2026 · For every founder and member of staff of Voltway</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t>You run the largest electric commercial van fleet in Venture City, and half the fleet sits idle in the afternoon. Voltway rents electric vans with drivers by the tick to businesses, and runs consumer passenger rides once licensed. Two companies depend on your fleet to survive. Meanwhile, your fleet drinks power from the grid, and energy is running short.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r>
              <w:t>32,500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resources</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Energy (Very High) and Logistics (High); Energy runs out during Tick 7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r>
              <w:t>Tick 6: 8,000 VB vehicle loan due to the Bank; after Tick 6: anchor freight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Energy: your fleet runs on electricity from GreenGrid (critical dependency S4)</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r>
              <w:t>Transport Operating Permit, from Government (opens Consumer rides)</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t>We were two fleet dispatchers with a clear conviction: that the city would rather rent commercial delivery runs by the tick than buy depreciating metal and hire permanent drivers. We borrowed from the Bank to buy the van fleet, and we built the city's largest electric delivery operation.</w:t>
      </w:r>
    </w:p>
    <w:p>
      <w:pPr>
        <w:pBdr>
          <w:left w:val="single" w:color="2E7D7A" w:sz="18" w:space="10"/>
        </w:pBdr>
        <w:spacing w:after="80" w:line="276"/>
        <w:ind w:left="360"/>
      </w:pPr>
      <w:r>
        <w:t>Commercial deliveries peak in the morning and evening, leaving vans parked idle half the day. Meanwhile the batteries drink power from GreenGrid, and our power bills are climbing.</w:t>
      </w:r>
    </w:p>
    <w:p>
      <w:pPr>
        <w:pBdr>
          <w:left w:val="single" w:color="2E7D7A" w:sz="18" w:space="10"/>
        </w:pBdr>
        <w:spacing w:after="80" w:line="276"/>
        <w:ind w:left="360"/>
      </w:pPr>
      <w:r>
        <w:t>Two companies cannot ship without us. Sell spare capacity by the tick to HarvestLoop and Forgeline, secure the Transport Operating Permit from Government to launch consumer rides, and watch the energy meters. Please do not miss our vehicle loan repayment at Tick 6.</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r>
              <w:t>Electric fleet capacity and commercial mobility</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Started with five electric delivery vans and grew to the city's largest commercial fleet, renting vans with drivers by the tick.</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business in the city runs on fast, local, affordable compute.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Sells compute capacity by the tick; profit depends on how full the halls are.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Compute-hungry companies; big hosting buyers; regulated buyers once licensed.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compute host among the companies; two companies depend on you critically. You compete with the Supplier Market's Compute line.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Modern racks and an old cooling plant that wastes power.</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Reliable so far; untested at scale.</w:t>
            </w:r>
          </w:p>
        </w:tc>
      </w:tr>
    </w:tbl>
    <w:p>
      <w:pPr>
        <w:spacing w:after="80"/>
      </w:pPr>
    </w:p>
    <w:p>
      <w:pPr>
        <w:pStyle w:val="Heading1"/>
        <w:keepNext/>
      </w:pPr>
      <w:r>
        <w:rPr>
          <w:rFonts w:ascii="Calibri" w:cs="Calibri" w:eastAsia="Calibri" w:hAnsi="Calibri"/>
        </w:rPr>
        <w:t xml:space="preserve">Your team</w:t>
      </w:r>
    </w:p>
    <w:p>
      <w:pPr>
        <w:spacing w:after="120" w:line="276"/>
      </w:pPr>
      <w:r>
        <w:t>Your CEO is a volunteer playing the Growth Maximiser: customers first, profit later; won't cut acquisition spend; overspends on growth.</w:t>
      </w:r>
    </w:p>
    <w:p>
      <w:pPr>
        <w:spacing w:after="120" w:line="276"/>
      </w:pPr>
      <w:r>
        <w:t>Your staff are strong in Operations: you know routes and dispatch. You are one person short in Research / Intelligence: no demand forecasting, so vans sit idle.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r>
              <w:t>32,500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Electric van fleet, book value 8,000 VB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Energy Very High, Infrastructure Very High, Compute High, Data Medium, Logistics Low, Materials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spacing w:after="120" w:line="276"/>
      </w:pPr>
      <w:r>
        <w:rPr>
          <w:rFonts w:ascii="Calibri" w:cs="Calibri" w:eastAsia="Calibri" w:hAnsi="Calibri"/>
        </w:rPr>
        <w:t xml:space="preserve">You use little Logistics and Materials, so you have some to sell.</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2"/>
        <w:gridCol w:w="2594"/>
        <w:gridCol w:w="5562"/>
      </w:tblGrid>
      <w:tr>
        <w:trPr>
          <w:tblHeader/>
        </w:trPr>
        <w:tc>
          <w:tcPr>
            <w:tcW w:type="dxa" w:w="148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259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r>
              <w:t>Fleet capacity block</w:t>
            </w:r>
          </w:p>
        </w:tc>
        <w:tc>
          <w:tcPr>
            <w:tcW w:type="dxa" w:w="55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r>
              <w:t>Consumer ride</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r>
              <w:t>Vans and drivers for scheduled delivery runs (fills S1)</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r>
              <w:t>Passenger transit ride across city zones</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2 Energy, 1 Logistics</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1 Energy, 1 Logistics</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r>
              <w:t>10 units of delivery capacity per tick</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r>
              <w:t>5 rides per tick</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350 VB per block</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80 VB per ride</w:t>
            </w:r>
          </w:p>
        </w:tc>
      </w:tr>
      <w:tr>
        <w:trPr>
          <w:cantSplit/>
        </w:trPr>
        <w:tc>
          <w:tcPr>
            <w:tcW w:type="dxa" w:w="14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2594"/>
            <w:tcBorders>
              <w:top w:val="single" w:color="BFCAD6" w:sz="4"/>
              <w:left w:val="single" w:color="BFCAD6" w:sz="4"/>
              <w:bottom w:val="single" w:color="BFCAD6" w:sz="4"/>
              <w:right w:val="single" w:color="BFCAD6" w:sz="4"/>
            </w:tcBorders>
            <w:tcMar>
              <w:top w:type="dxa" w:w="60"/>
              <w:left w:type="dxa" w:w="100"/>
              <w:bottom w:type="dxa" w:w="60"/>
              <w:right w:type="dxa" w:w="100"/>
            </w:tcMar>
          </w:tcPr>
          <w:p>
            <w:r>
              <w:t>250 VB</w:t>
            </w:r>
          </w:p>
        </w:tc>
        <w:tc>
          <w:tcPr>
            <w:tcW w:type="dxa" w:w="5562"/>
            <w:tcBorders>
              <w:top w:val="single" w:color="BFCAD6" w:sz="4"/>
              <w:left w:val="single" w:color="BFCAD6" w:sz="4"/>
              <w:bottom w:val="single" w:color="BFCAD6" w:sz="4"/>
              <w:right w:val="single" w:color="BFCAD6" w:sz="4"/>
            </w:tcBorders>
            <w:tcMar>
              <w:top w:type="dxa" w:w="60"/>
              <w:left w:type="dxa" w:w="100"/>
              <w:bottom w:type="dxa" w:w="60"/>
              <w:right w:type="dxa" w:w="100"/>
            </w:tcMar>
          </w:tcPr>
          <w:p>
            <w:r>
              <w:t>50 VB</w:t>
            </w:r>
          </w:p>
        </w:tc>
      </w:tr>
      <w:tr>
        <w:trPr>
          <w:cantSplit/>
        </w:trPr>
        <w:tc>
          <w:tcPr>
            <w:tcW w:type="dxa" w:w="14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259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None (available immediately)</w:t>
            </w:r>
          </w:p>
        </w:tc>
        <w:tc>
          <w:tcPr>
            <w:tcW w:type="dxa" w:w="55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Transport Operating Permit (Government)</w:t>
            </w:r>
          </w:p>
        </w:tc>
      </w:tr>
    </w:tbl>
    <w:p>
      <w:pPr>
        <w:spacing w:after="80"/>
      </w:pPr>
    </w:p>
    <w:p>
      <w:pPr>
        <w:spacing w:after="120" w:line="276"/>
      </w:pPr>
      <w:r>
        <w:rPr>
          <w:rFonts w:ascii="Calibri" w:cs="Calibri" w:eastAsia="Calibri" w:hAnsi="Calibri"/>
        </w:rPr>
        <w:t xml:space="preserve">A block works out at 16 VB per Compute unit, against 18 at the Supplier Market and 20 at the Bank. No institution sells compliant hosting.</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r>
              <w:t>Apex Freight Logistics: 2 fleet blocks every tick at 350 VB each, Ticks 1 to 6 (4,200 VB total). Then up for renewal at the Customer desk.</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Bank vehicle loan: 8,000 VB principal due at Tick 6. If missed, 10% penalty and credit grade drops.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Compliance gap</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r>
              <w:t>Metro Power charging contract: 15 Energy units per tick at 12 VB/unit. Ends at Tick 4 unless renewed.</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GreenGrid</w:t>
            </w:r>
            <w:r>
              <w:rPr>
                <w:rFonts w:ascii="Calibri" w:cs="Calibri" w:eastAsia="Calibri" w:hAnsi="Calibri"/>
                <w:sz w:val="19"/>
                <w:szCs w:val="19"/>
              </w:rPr>
              <w:t xml:space="preserve">, the city's energy supplier: "Energy for the server halls at contract price." A recorded need, not a contract.</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Memoranda you hold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w:t>
            </w:r>
            <w:r>
              <w:rPr>
                <w:rFonts w:ascii="Calibri" w:cs="Calibri" w:eastAsia="Calibri" w:hAnsi="Calibri"/>
                <w:b/>
                <w:bCs/>
                <w:sz w:val="19"/>
                <w:szCs w:val="19"/>
              </w:rPr>
              <w:t xml:space="preserve">PulseAI</w:t>
            </w:r>
            <w:r>
              <w:rPr>
                <w:rFonts w:ascii="Calibri" w:cs="Calibri" w:eastAsia="Calibri" w:hAnsi="Calibri"/>
                <w:sz w:val="19"/>
                <w:szCs w:val="19"/>
              </w:rPr>
              <w:t xml:space="preserve">, an analytics company: "Hosted compute for model runs, below the market price." From </w:t>
            </w:r>
            <w:r>
              <w:rPr>
                <w:rFonts w:ascii="Calibri" w:cs="Calibri" w:eastAsia="Calibri" w:hAnsi="Calibri"/>
                <w:b/>
                <w:bCs/>
                <w:sz w:val="19"/>
                <w:szCs w:val="19"/>
              </w:rPr>
              <w:t xml:space="preserve">TrustLayer</w:t>
            </w:r>
            <w:r>
              <w:rPr>
                <w:rFonts w:ascii="Calibri" w:cs="Calibri" w:eastAsia="Calibri" w:hAnsi="Calibri"/>
                <w:sz w:val="19"/>
                <w:szCs w:val="19"/>
              </w:rPr>
              <w:t xml:space="preserve">, a security company: "Hosted compute for the threat-detection engine." Their needs, not contracts.</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Westbrook Media Group</w:t>
      </w:r>
      <w:r>
        <w:rPr>
          <w:rFonts w:ascii="Calibri" w:cs="Calibri" w:eastAsia="Calibri" w:hAnsi="Calibri"/>
        </w:rPr>
        <w:t xml:space="preserve"> is your only steady income. It chose you because you are down the road and have never dropped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9"/>
        <w:gridCol w:w="7609"/>
      </w:tblGrid>
      <w:tr>
        <w:trPr>
          <w:tblHeader/>
        </w:trPr>
        <w:tc>
          <w:tcPr>
            <w:tcW w:type="dxa" w:w="202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60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Orbit Broadcasting</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r>
              <w:t>HarvestLoop and Forgeline need fleet capacity to move produce and factory freight. Sell them per-tick van blocks.</w:t>
            </w:r>
          </w:p>
        </w:tc>
      </w:tr>
      <w:tr>
        <w:trPr>
          <w:cantSplit/>
        </w:trPr>
        <w:tc>
          <w:tcPr>
            <w:tcW w:type="dxa" w:w="20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business</w:t>
            </w:r>
          </w:p>
        </w:tc>
        <w:tc>
          <w:tcPr>
            <w:tcW w:type="dxa" w:w="760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City Department of Commerce: holds the Transport Operating Permit. An application opens consumer ride bookings.</w:t>
            </w:r>
          </w:p>
        </w:tc>
      </w:tr>
      <w:tr>
        <w:trPr>
          <w:cantSplit/>
        </w:trPr>
        <w:tc>
          <w:tcPr>
            <w:tcW w:type="dxa" w:w="20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solar-and-battery firm</w:t>
            </w:r>
          </w:p>
        </w:tc>
        <w:tc>
          <w:tcPr>
            <w:tcW w:type="dxa" w:w="760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Sells energy by the tick below the market price. Find it before the other heavy users do.</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2"/>
        <w:gridCol w:w="3055"/>
        <w:gridCol w:w="5291"/>
      </w:tblGrid>
      <w:tr>
        <w:trPr>
          <w:tblHeader/>
        </w:trPr>
        <w:tc>
          <w:tcPr>
            <w:tcW w:type="dxa" w:w="129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05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529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292"/>
            <w:tcBorders>
              <w:top w:val="single" w:color="BFCAD6" w:sz="4"/>
              <w:left w:val="single" w:color="BFCAD6" w:sz="4"/>
              <w:bottom w:val="single" w:color="BFCAD6" w:sz="4"/>
              <w:right w:val="single" w:color="BFCAD6" w:sz="4"/>
            </w:tcBorders>
            <w:tcMar>
              <w:top w:type="dxa" w:w="60"/>
              <w:left w:type="dxa" w:w="100"/>
              <w:bottom w:type="dxa" w:w="60"/>
              <w:right w:type="dxa" w:w="100"/>
            </w:tcMar>
          </w:tcPr>
          <w:p>
            <w:r>
              <w:t>Energy (critical)</w:t>
            </w:r>
          </w:p>
        </w:tc>
        <w:tc>
          <w:tcPr>
            <w:tcW w:type="dxa" w:w="3055"/>
            <w:tcBorders>
              <w:top w:val="single" w:color="BFCAD6" w:sz="4"/>
              <w:left w:val="single" w:color="BFCAD6" w:sz="4"/>
              <w:bottom w:val="single" w:color="BFCAD6" w:sz="4"/>
              <w:right w:val="single" w:color="BFCAD6" w:sz="4"/>
            </w:tcBorders>
            <w:tcMar>
              <w:top w:type="dxa" w:w="60"/>
              <w:left w:type="dxa" w:w="100"/>
              <w:bottom w:type="dxa" w:w="60"/>
              <w:right w:type="dxa" w:w="100"/>
            </w:tcMar>
          </w:tcPr>
          <w:p>
            <w:r>
              <w:t>GreenGrid, your memorandum partner</w:t>
            </w:r>
          </w:p>
        </w:tc>
        <w:tc>
          <w:tcPr>
            <w:tcW w:type="dxa" w:w="5291"/>
            <w:tcBorders>
              <w:top w:val="single" w:color="BFCAD6" w:sz="4"/>
              <w:left w:val="single" w:color="BFCAD6" w:sz="4"/>
              <w:bottom w:val="single" w:color="BFCAD6" w:sz="4"/>
              <w:right w:val="single" w:color="BFCAD6" w:sz="4"/>
            </w:tcBorders>
            <w:tcMar>
              <w:top w:type="dxa" w:w="60"/>
              <w:left w:type="dxa" w:w="100"/>
              <w:bottom w:type="dxa" w:w="60"/>
              <w:right w:type="dxa" w:w="100"/>
            </w:tcMar>
          </w:tcPr>
          <w:p>
            <w:r>
              <w:t>The Bank at 15 VB a unit, up to 30 a tick, or Supplier Market at 10% less</w:t>
            </w:r>
          </w:p>
        </w:tc>
      </w:tr>
      <w:tr>
        <w:trPr>
          <w:cantSplit/>
        </w:trPr>
        <w:tc>
          <w:tcPr>
            <w:tcW w:type="dxa" w:w="129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Analytics (S9)</w:t>
            </w:r>
          </w:p>
        </w:tc>
        <w:tc>
          <w:tcPr>
            <w:tcW w:type="dxa" w:w="305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PulseAI (for route optimisation)</w:t>
            </w:r>
          </w:p>
        </w:tc>
        <w:tc>
          <w:tcPr>
            <w:tcW w:type="dxa" w:w="529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Talent Exchange specialist</w:t>
            </w:r>
          </w:p>
        </w:tc>
      </w:tr>
      <w:tr>
        <w:trPr>
          <w:cantSplit/>
        </w:trPr>
        <w:tc>
          <w:tcPr>
            <w:tcW w:type="dxa" w:w="129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Security</w:t>
            </w:r>
          </w:p>
        </w:tc>
        <w:tc>
          <w:tcPr>
            <w:tcW w:type="dxa" w:w="305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security company</w:t>
            </w:r>
          </w:p>
        </w:tc>
        <w:tc>
          <w:tcPr>
            <w:tcW w:type="dxa" w:w="529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Government's security compliance review: 20 Data units, a full system description and 1,500 VB, decided over 2 ticks</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compute hosting: PulseAI and TrustLayer hold memoranda with you, and a payments company or a training business may ask too. </w:t>
      </w:r>
      <w:r>
        <w:rPr>
          <w:rFonts w:ascii="Calibri" w:cs="Calibri" w:eastAsia="Calibri" w:hAnsi="Calibri"/>
          <w:b/>
          <w:bCs/>
        </w:rPr>
        <w:t xml:space="preserve">You are the only host, but not the only big Energy buyer.</w:t>
      </w:r>
      <w:r>
        <w:rPr>
          <w:rFonts w:ascii="Calibri" w:cs="Calibri" w:eastAsia="Calibri" w:hAnsi="Calibri"/>
        </w:rPr>
        <w:t xml:space="preserve"> Two other companies use Energy as heavily as you do; whoever signs the city's power first may not leave much for the rest.</w:t>
      </w:r>
    </w:p>
    <w:p>
      <w:pPr>
        <w:spacing w:after="120" w:line="276"/>
      </w:pPr>
      <w:r>
        <w:rPr>
          <w:rFonts w:ascii="Calibri" w:cs="Calibri" w:eastAsia="Calibri" w:hAnsi="Calibri"/>
          <w:b/>
          <w:bCs/>
        </w:rPr>
        <w:t xml:space="preserve">The hosting licence</w:t>
      </w:r>
      <w:r>
        <w:rPr>
          <w:rFonts w:ascii="Calibri" w:cs="Calibri" w:eastAsia="Calibri" w:hAnsi="Calibri"/>
        </w:rPr>
        <w:t xml:space="preserve"> needs security evidence, 20 Infrastructure units for hardening and an 800 VB fee, decided one tick after a complete application.</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Energy and Infrastructure. Empty halls still draw them, and every block you sell uses one more of each.</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too few people to run the halls.</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regulated tenants blocked until the hosting licence; discounting to fill halls below your own energy cost; your Energy deal ends at Tick 4;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r>
              <w:t>Never Distressed two ticks running; repay vehicle loan; solvent at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20,000 VB of new fleet revenue by the freeze, not counting the anchor contract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Reach 3 ticks of unbroken delivery and sign the big hosting buyer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Host 3 tenants at once by Tick 6</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host the compute-hungry companies; clean delivery to the anchor starts your unbroken-delivery count.</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energy company needs contracts to show its Bank, so it may sell cheap.</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pivot from raw capacity to managed hosting bundled with security; add edge hosting for physical companies; spin out a managed-security unit or an edge-hosting unit; merge with the analytics company (an AI cloud) or the energy company (a green data centre); buy the payments company as a captive tenant.</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r>
              <w:t>"Our fleet depot land is situated right on a high-voltage conduit, worth 2 to 3 times book to GreenGrid as an EV supercharging station."</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r>
              <w:t>"GreenGrid is desperate for charging real-estate to expand capacity before mid-game."</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r>
              <w:t>"A municipal road rule review is pending at Tick 7; if city transit bylaws tighten, unlicensed consumer rides get shut down immediately."</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site reliability lead has turned down two promotions and keeps mentioning burnout."</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StackHouse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StackHouse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StackHouse Founder Dossier</dc:title>
  <dc:creator>Venture City GM team</dc:creator>
  <cp:lastModifiedBy>Un-named</cp:lastModifiedBy>
  <cp:revision>1</cp:revision>
  <dcterms:created xsi:type="dcterms:W3CDTF">2026-10-05T13:13:30.552Z</dcterms:created>
  <dcterms:modified xsi:type="dcterms:W3CDTF">2026-10-05T13:13:30.552Z</dcterms:modified>
</cp:coreProperties>
</file>

<file path=docProps/custom.xml><?xml version="1.0" encoding="utf-8"?>
<Properties xmlns="http://schemas.openxmlformats.org/officeDocument/2006/custom-properties" xmlns:vt="http://schemas.openxmlformats.org/officeDocument/2006/docPropsVTypes"/>
</file>