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Lagos delivery operations review</w:t>
      </w:r>
    </w:p>
    <w:p>
      <w:pPr>
        <w:pStyle w:val="Subtitle"/>
      </w:pPr>
      <w:r>
        <w:t>September 2026 | Prepared for the operations team</w:t>
      </w:r>
    </w:p>
    <w:p>
      <w:pPr>
        <w:pStyle w:val="Heading1"/>
      </w:pPr>
      <w:r>
        <w:t>Executive overview</w:t>
      </w:r>
    </w:p>
    <w:p>
      <w:r>
        <w:t>The Marina warehouse completed 240 deliveries during September. This report reviews dispatch performance, inventory controls and the next inspection cycle. The team will retain the morning dispatch window and expand checks on fragile equipment.</w:t>
      </w:r>
    </w:p>
    <w:p>
      <w:r>
        <w:rPr>
          <w:b/>
        </w:rPr>
        <w:t xml:space="preserve">Priority: </w:t>
      </w:r>
      <w:r>
        <w:rPr>
          <w:i/>
        </w:rPr>
        <w:t xml:space="preserve">Protect solar panels during transfer. </w:t>
      </w:r>
      <w:r>
        <w:rPr>
          <w:u w:val="single"/>
        </w:rPr>
        <w:t>Review every delivery receipt.</w:t>
      </w:r>
    </w:p>
    <w:p>
      <w:pPr>
        <w:pStyle w:val="ListBullet"/>
      </w:pPr>
      <w:r>
        <w:t>Check protective packaging before loading.</w:t>
      </w:r>
    </w:p>
    <w:p>
      <w:pPr>
        <w:pStyle w:val="ListBullet"/>
      </w:pPr>
      <w:r>
        <w:t>Match shipment labels to the dispatch register.</w:t>
      </w:r>
    </w:p>
    <w:p>
      <w:pPr>
        <w:pStyle w:val="ListBullet"/>
      </w:pPr>
      <w:r>
        <w:t>Record delivery exceptions before closing the route.</w:t>
      </w:r>
    </w:p>
    <w:p>
      <w:r>
        <w:drawing>
          <wp:inline xmlns:a="http://schemas.openxmlformats.org/drawingml/2006/main" xmlns:pic="http://schemas.openxmlformats.org/drawingml/2006/picture">
            <wp:extent cx="4937760" cy="3291840"/>
            <wp:docPr id="1" name="Picture 1"/>
            <wp:cNvGraphicFramePr>
              <a:graphicFrameLocks noChangeAspect="1"/>
            </wp:cNvGraphicFramePr>
            <a:graphic>
              <a:graphicData uri="http://schemas.openxmlformats.org/drawingml/2006/picture">
                <pic:pic>
                  <pic:nvPicPr>
                    <pic:cNvPr id="0" name="landscape.jpg"/>
                    <pic:cNvPicPr/>
                  </pic:nvPicPr>
                  <pic:blipFill>
                    <a:blip r:embed="rId11"/>
                    <a:stretch>
                      <a:fillRect/>
                    </a:stretch>
                  </pic:blipFill>
                  <pic:spPr>
                    <a:xfrm>
                      <a:off x="0" y="0"/>
                      <a:ext cx="4937760" cy="3291840"/>
                    </a:xfrm>
                    <a:prstGeom prst="rect"/>
                  </pic:spPr>
                </pic:pic>
              </a:graphicData>
            </a:graphic>
          </wp:inline>
        </w:drawing>
      </w:r>
    </w:p>
    <w:p>
      <w:pPr>
        <w:jc w:val="center"/>
      </w:pPr>
      <w:r>
        <w:t>Figure 1  Dispatch performance by operating zone</w:t>
      </w:r>
    </w:p>
    <w:p>
      <w:r>
        <w:t xml:space="preserve">Reference: </w:t>
      </w:r>
      <w:hyperlink r:id="rId12">
        <w:r>
          <w:t>Operations handbook</w:t>
        </w:r>
      </w:hyperlink>
    </w:p>
    <w:p>
      <w:r>
        <w:br w:type="page"/>
      </w:r>
    </w:p>
    <w:p>
      <w:pPr>
        <w:pStyle w:val="Heading1"/>
      </w:pPr>
      <w:r>
        <w:t>Inventory and dispatch register</w:t>
      </w:r>
    </w:p>
    <w:p>
      <w:r>
        <w:t>The register separates received stock from dispatched units. Supervisors reconcile the remaining balance at the end of each shift.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6F2"/>
          </w:tcPr>
          <w:p>
            <w:r>
              <w:rPr>
                <w:b/>
              </w:rPr>
              <w:t>Product</w:t>
            </w:r>
          </w:p>
        </w:tc>
        <w:tc>
          <w:tcPr>
            <w:tcW w:type="dxa" w:w="2160"/>
            <w:shd w:fill="D9E6F2"/>
          </w:tcPr>
          <w:p>
            <w:r>
              <w:rPr>
                <w:b/>
              </w:rPr>
              <w:t>Received</w:t>
            </w:r>
          </w:p>
        </w:tc>
        <w:tc>
          <w:tcPr>
            <w:tcW w:type="dxa" w:w="2160"/>
            <w:shd w:fill="D9E6F2"/>
          </w:tcPr>
          <w:p>
            <w:r>
              <w:rPr>
                <w:b/>
              </w:rPr>
              <w:t>Dispatched</w:t>
            </w:r>
          </w:p>
        </w:tc>
        <w:tc>
          <w:tcPr>
            <w:tcW w:type="dxa" w:w="2160"/>
            <w:shd w:fill="D9E6F2"/>
          </w:tcPr>
          <w:p>
            <w:r>
              <w:rPr>
                <w:b/>
              </w:rPr>
              <w:t>Balance</w:t>
            </w:r>
          </w:p>
        </w:tc>
      </w:tr>
      <w:tr>
        <w:tc>
          <w:tcPr>
            <w:tcW w:type="dxa" w:w="2160"/>
          </w:tcPr>
          <w:p>
            <w:r>
              <w:t>Solar panel kits</w:t>
            </w:r>
          </w:p>
        </w:tc>
        <w:tc>
          <w:tcPr>
            <w:tcW w:type="dxa" w:w="2160"/>
          </w:tcPr>
          <w:p>
            <w:r>
              <w:t>120</w:t>
            </w:r>
          </w:p>
        </w:tc>
        <w:tc>
          <w:tcPr>
            <w:tcW w:type="dxa" w:w="2160"/>
          </w:tcPr>
          <w:p>
            <w:r>
              <w:t>96</w:t>
            </w:r>
          </w:p>
        </w:tc>
        <w:tc>
          <w:tcPr>
            <w:tcW w:type="dxa" w:w="2160"/>
          </w:tcPr>
          <w:p>
            <w:r>
              <w:t>24</w:t>
            </w:r>
          </w:p>
        </w:tc>
      </w:tr>
      <w:tr>
        <w:tc>
          <w:tcPr>
            <w:tcW w:type="dxa" w:w="2160"/>
          </w:tcPr>
          <w:p>
            <w:r>
              <w:t>Battery packs</w:t>
            </w:r>
          </w:p>
        </w:tc>
        <w:tc>
          <w:tcPr>
            <w:tcW w:type="dxa" w:w="2160"/>
          </w:tcPr>
          <w:p>
            <w:r>
              <w:t>80</w:t>
            </w:r>
          </w:p>
        </w:tc>
        <w:tc>
          <w:tcPr>
            <w:tcW w:type="dxa" w:w="2160"/>
          </w:tcPr>
          <w:p>
            <w:r>
              <w:t>65</w:t>
            </w:r>
          </w:p>
        </w:tc>
        <w:tc>
          <w:tcPr>
            <w:tcW w:type="dxa" w:w="2160"/>
          </w:tcPr>
          <w:p>
            <w:r>
              <w:t>15</w:t>
            </w:r>
          </w:p>
        </w:tc>
      </w:tr>
      <w:tr>
        <w:tc>
          <w:tcPr>
            <w:tcW w:type="dxa" w:w="2160"/>
          </w:tcPr>
          <w:p>
            <w:r>
              <w:t>Charge controllers</w:t>
            </w:r>
          </w:p>
        </w:tc>
        <w:tc>
          <w:tcPr>
            <w:tcW w:type="dxa" w:w="2160"/>
          </w:tcPr>
          <w:p>
            <w:r>
              <w:t>150</w:t>
            </w:r>
          </w:p>
        </w:tc>
        <w:tc>
          <w:tcPr>
            <w:tcW w:type="dxa" w:w="2160"/>
          </w:tcPr>
          <w:p>
            <w:r>
              <w:t>130</w:t>
            </w:r>
          </w:p>
        </w:tc>
        <w:tc>
          <w:tcPr>
            <w:tcW w:type="dxa" w:w="2160"/>
          </w:tcPr>
          <w:p>
            <w:r>
              <w:t>20</w:t>
            </w:r>
          </w:p>
        </w:tc>
      </w:tr>
      <w:tr>
        <w:tc>
          <w:tcPr>
            <w:tcW w:type="dxa" w:w="2160"/>
          </w:tcPr>
          <w:p>
            <w:r>
              <w:t>Mounting brackets</w:t>
            </w:r>
          </w:p>
        </w:tc>
        <w:tc>
          <w:tcPr>
            <w:tcW w:type="dxa" w:w="2160"/>
          </w:tcPr>
          <w:p>
            <w:r>
              <w:t>300</w:t>
            </w:r>
          </w:p>
        </w:tc>
        <w:tc>
          <w:tcPr>
            <w:tcW w:type="dxa" w:w="2160"/>
          </w:tcPr>
          <w:p>
            <w:r>
              <w:t>240</w:t>
            </w:r>
          </w:p>
        </w:tc>
        <w:tc>
          <w:tcPr>
            <w:tcW w:type="dxa" w:w="2160"/>
          </w:tcPr>
          <w:p>
            <w:r>
              <w:t>60</w:t>
            </w:r>
          </w:p>
        </w:tc>
      </w:tr>
      <w:tr>
        <w:tc>
          <w:tcPr>
            <w:tcW w:type="dxa" w:w="2160"/>
          </w:tcPr>
          <w:p>
            <w:r>
              <w:t>Cable reels</w:t>
            </w:r>
          </w:p>
        </w:tc>
        <w:tc>
          <w:tcPr>
            <w:tcW w:type="dxa" w:w="2160"/>
          </w:tcPr>
          <w:p>
            <w:r>
              <w:t>50</w:t>
            </w:r>
          </w:p>
        </w:tc>
        <w:tc>
          <w:tcPr>
            <w:tcW w:type="dxa" w:w="2160"/>
          </w:tcPr>
          <w:p>
            <w:r>
              <w:t>42</w:t>
            </w:r>
          </w:p>
        </w:tc>
        <w:tc>
          <w:tcPr>
            <w:tcW w:type="dxa" w:w="2160"/>
          </w:tcPr>
          <w:p>
            <w:r>
              <w:t>8</w:t>
            </w:r>
          </w:p>
        </w:tc>
      </w:tr>
    </w:tbl>
    <w:p>
      <w:pPr>
        <w:pStyle w:val="Heading2"/>
      </w:pPr>
      <w:r>
        <w:t>Daily reconciliation</w:t>
      </w:r>
    </w:p>
    <w:p>
      <w:pPr>
        <w:pStyle w:val="ListNumber"/>
      </w:pPr>
      <w:r>
        <w:t>Count available units at the start of the shift.</w:t>
      </w:r>
    </w:p>
    <w:p>
      <w:pPr>
        <w:pStyle w:val="ListNumber"/>
      </w:pPr>
      <w:r>
        <w:t>Reconcile dispatch notes against the register.</w:t>
      </w:r>
    </w:p>
    <w:p>
      <w:pPr>
        <w:pStyle w:val="ListNumber"/>
      </w:pPr>
      <w:r>
        <w:t>Sign the final balance with the warehouse supervisor.</w:t>
      </w:r>
    </w:p>
    <w:p>
      <w:pPr>
        <w:jc w:val="right"/>
      </w:pPr>
      <w:r>
        <w:t>Supervisor approval: Ada Okafor</w:t>
      </w:r>
    </w:p>
    <w:p>
      <w:r>
        <w:br w:type="page"/>
      </w:r>
    </w:p>
    <w:p>
      <w:pPr>
        <w:pStyle w:val="Heading1"/>
      </w:pPr>
      <w:r>
        <w:t>Inspection schedule and follow up</w:t>
      </w:r>
    </w:p>
    <w:p>
      <w:r>
        <w:t>The next review will assess damaged packaging, missing receipts and delayed arrivals. Each route lead will submit a signed checklist before the weekly meeting.</w:t>
      </w:r>
    </w:p>
    <w:p>
      <w:pPr>
        <w:pStyle w:val="Heading2"/>
      </w:pPr>
      <w:r>
        <w:t>Packaging checks</w:t>
      </w:r>
    </w:p>
    <w:p>
      <w:r>
        <w:t>Inspect corner protection and moisture barriers before loading.</w:t>
      </w:r>
    </w:p>
    <w:p>
      <w:pPr>
        <w:pStyle w:val="Heading2"/>
      </w:pPr>
      <w:r>
        <w:t>Route readiness</w:t>
      </w:r>
    </w:p>
    <w:p>
      <w:r>
        <w:t>Confirm vehicle capacity, delivery address and the receiving contact.</w:t>
      </w:r>
    </w:p>
    <w:p>
      <w:pPr>
        <w:pStyle w:val="Heading2"/>
      </w:pPr>
      <w:r>
        <w:t>Close out</w:t>
      </w:r>
    </w:p>
    <w:p>
      <w:r>
        <w:t>Archive the signed receipt and record any discrepancy in the register.</w:t>
      </w:r>
    </w:p>
    <w:p>
      <w:pPr>
        <w:jc w:val="center"/>
      </w:pPr>
      <w:r>
        <w:t>End of operations review</w:t>
      </w:r>
    </w:p>
    <w:sectPr w:rsidR="00FC693F" w:rsidRPr="0006063C" w:rsidSect="00034616">
      <w:headerReference w:type="default" r:id="rId9"/>
      <w:footerReference w:type="default" r:id="rId10"/>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Operations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FILEFORGE  |  Lagos operations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example.com/ope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