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8"/>
        </w:rPr>
        <w:t>Financial Analysis for All Clean Property Services</w:t>
      </w:r>
    </w:p>
    <w:p>
      <w:pPr>
        <w:pStyle w:val="Heading2"/>
      </w:pPr>
      <w:r>
        <w:rPr>
          <w:color w:val="1F4E78"/>
        </w:rPr>
        <w:t>1. Market Potential - Edmonton Property Services</w:t>
      </w:r>
    </w:p>
    <w:p>
      <w:r>
        <w:t>While specific "property services" market size data for Edmonton is fragmented, we can infer potential from related segments:</w:t>
      </w:r>
    </w:p>
    <w:p>
      <w:pPr>
        <w:pStyle w:val="ListBullet"/>
      </w:pPr>
      <w:r/>
      <w:r>
        <w:rPr>
          <w:b/>
        </w:rPr>
        <w:t>Residential Cleaning:</w:t>
      </w:r>
      <w:r>
        <w:t xml:space="preserve"> Average one-time service in Edmonton ranges from $100-$300. This indicates a robust demand for recurring and one-off residential services.</w:t>
      </w:r>
    </w:p>
    <w:p>
      <w:pPr>
        <w:pStyle w:val="ListBullet"/>
      </w:pPr>
      <w:r/>
      <w:r>
        <w:rPr>
          <w:b/>
        </w:rPr>
        <w:t>Commercial Cleaning:</w:t>
      </w:r>
      <w:r>
        <w:t xml:space="preserve"> Similar average ranges, but with significant variability based on contract size and frequency. Commercial contracts offer higher, more stable revenue streams.</w:t>
      </w:r>
    </w:p>
    <w:p>
      <w:pPr>
        <w:pStyle w:val="ListBullet"/>
      </w:pPr>
      <w:r/>
      <w:r>
        <w:rPr>
          <w:b/>
        </w:rPr>
        <w:t>Landscaping Services (Canada):</w:t>
      </w:r>
      <w:r>
        <w:t xml:space="preserve"> The broader Canadian landscaping market was ~$14.57 billion USD in 2023, projected to grow to $21.75 billion USD by 2030 (6% CAGR). Large landscaping projects in Edmonton can range from $15,000-$50,000. This highlights the potential for high-value, specialized exterior services.</w:t>
      </w:r>
    </w:p>
    <w:p>
      <w:r/>
      <w:r>
        <w:rPr>
          <w:b/>
        </w:rPr>
        <w:t>Conclusion:</w:t>
      </w:r>
      <w:r>
        <w:t xml:space="preserve"> The Edmonton market for property services (encompassing cleaning, exterior maintenance, and potentially light landscaping) is substantial and offers significant growth opportunities for a well-positioned company.</w:t>
      </w:r>
    </w:p>
    <w:p>
      <w:pPr>
        <w:pStyle w:val="Heading2"/>
      </w:pPr>
      <w:r>
        <w:rPr>
          <w:color w:val="1F4E78"/>
        </w:rPr>
        <w:t>2. Financial Model for $500,000+ Annual Sales</w:t>
      </w:r>
    </w:p>
    <w:p>
      <w:r>
        <w:t>To achieve an annual revenue target of $500,000, All Clean Property Services needs to focus on a combination of customer volume and average service value (ASV).</w:t>
      </w:r>
    </w:p>
    <w:p>
      <w:r/>
      <w:r>
        <w:rPr>
          <w:b/>
        </w:rPr>
        <w:t>Key Assumptions:</w:t>
      </w:r>
      <w:r/>
    </w:p>
    <w:p>
      <w:pPr>
        <w:pStyle w:val="ListBullet"/>
      </w:pPr>
      <w:r/>
      <w:r>
        <w:rPr>
          <w:b/>
        </w:rPr>
        <w:t>Target Annual Revenue:</w:t>
      </w:r>
      <w:r>
        <w:t xml:space="preserve"> $500,000</w:t>
      </w:r>
    </w:p>
    <w:p>
      <w:pPr>
        <w:pStyle w:val="ListBullet"/>
      </w:pPr>
      <w:r/>
      <w:r>
        <w:rPr>
          <w:b/>
        </w:rPr>
        <w:t>Average Service Value (ASV):</w:t>
      </w:r>
      <w:r>
        <w:t xml:space="preserve"> This is a blended average across all services.</w:t>
      </w:r>
    </w:p>
    <w:p>
      <w:pPr>
        <w:pStyle w:val="ListBullet"/>
      </w:pPr>
      <w:r>
        <w:t>Low Scenario: $250 (focus on more frequent, smaller jobs)</w:t>
      </w:r>
    </w:p>
    <w:p>
      <w:pPr>
        <w:pStyle w:val="ListBullet"/>
      </w:pPr>
      <w:r>
        <w:t>Base Scenario: $350 (balanced mix of small, medium, and package deals)</w:t>
      </w:r>
    </w:p>
    <w:p>
      <w:pPr>
        <w:pStyle w:val="ListBullet"/>
      </w:pPr>
      <w:r>
        <w:t>High Scenario: $500 (emphasis on higher-value jobs, commercial contracts, and specialized services)</w:t>
      </w:r>
    </w:p>
    <w:p>
      <w:pPr>
        <w:pStyle w:val="ListBullet"/>
      </w:pPr>
      <w:r/>
      <w:r>
        <w:rPr>
          <w:b/>
        </w:rPr>
        <w:t>Gross Margin:</w:t>
      </w:r>
      <w:r/>
    </w:p>
    <w:p>
      <w:pPr>
        <w:pStyle w:val="ListBullet"/>
      </w:pPr>
      <w:r>
        <w:t>Labor Costs: 30-40% of revenue</w:t>
      </w:r>
    </w:p>
    <w:p>
      <w:pPr>
        <w:pStyle w:val="ListBullet"/>
      </w:pPr>
      <w:r>
        <w:t>Supplies Costs: 5-10% of revenue</w:t>
      </w:r>
    </w:p>
    <w:p>
      <w:pPr>
        <w:pStyle w:val="ListBullet"/>
      </w:pPr>
      <w:r/>
      <w:r>
        <w:rPr>
          <w:b/>
        </w:rPr>
        <w:t>Blended Gross Margin (Base): 55%</w:t>
      </w:r>
      <w:r>
        <w:t xml:space="preserve"> (COGS = 45%)</w:t>
      </w:r>
    </w:p>
    <w:p>
      <w:pPr>
        <w:pStyle w:val="ListBullet"/>
      </w:pPr>
      <w:r/>
      <w:r>
        <w:rPr>
          <w:b/>
        </w:rPr>
        <w:t>Operating Expenses (OpEx):</w:t>
      </w:r>
      <w:r/>
    </w:p>
    <w:p>
      <w:pPr>
        <w:pStyle w:val="ListBullet"/>
      </w:pPr>
      <w:r>
        <w:t>Marketing &amp; Sales: 5-10% of revenue</w:t>
      </w:r>
    </w:p>
    <w:p>
      <w:pPr>
        <w:pStyle w:val="ListBullet"/>
      </w:pPr>
      <w:r>
        <w:t>Administrative &amp; Overhead: 10-15% of revenue</w:t>
      </w:r>
    </w:p>
    <w:p>
      <w:pPr>
        <w:pStyle w:val="ListBullet"/>
      </w:pPr>
      <w:r/>
      <w:r>
        <w:rPr>
          <w:b/>
        </w:rPr>
        <w:t>Total OpEx (Base): 20% of revenue</w:t>
      </w:r>
      <w:r/>
    </w:p>
    <w:p>
      <w:r/>
      <w:r>
        <w:rPr>
          <w:b/>
        </w:rPr>
        <w:t>Revenue Driver Analysis: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Revenue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Average Service Value (ASV)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Number of Services Needed Annually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Services Needed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$500,000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~167</w:t>
            </w:r>
          </w:p>
        </w:tc>
      </w:tr>
      <w:tr>
        <w:tc>
          <w:tcPr>
            <w:tcW w:type="dxa" w:w="1728"/>
          </w:tcPr>
          <w:p>
            <w:r>
              <w:t>**Base**</w:t>
            </w:r>
          </w:p>
        </w:tc>
        <w:tc>
          <w:tcPr>
            <w:tcW w:type="dxa" w:w="1728"/>
          </w:tcPr>
          <w:p>
            <w:r>
              <w:t>**$500,000**</w:t>
            </w:r>
          </w:p>
        </w:tc>
        <w:tc>
          <w:tcPr>
            <w:tcW w:type="dxa" w:w="1728"/>
          </w:tcPr>
          <w:p>
            <w:r>
              <w:t>**$350**</w:t>
            </w:r>
          </w:p>
        </w:tc>
        <w:tc>
          <w:tcPr>
            <w:tcW w:type="dxa" w:w="1728"/>
          </w:tcPr>
          <w:p>
            <w:r>
              <w:t>**1,429**</w:t>
            </w:r>
          </w:p>
        </w:tc>
        <w:tc>
          <w:tcPr>
            <w:tcW w:type="dxa" w:w="1728"/>
          </w:tcPr>
          <w:p>
            <w:r>
              <w:t>**~119**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$500,000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~83</w:t>
            </w:r>
          </w:p>
        </w:tc>
      </w:tr>
    </w:tbl>
    <w:p/>
    <w:p>
      <w:r/>
      <w:r>
        <w:rPr>
          <w:i/>
        </w:rPr>
        <w:t>To reach $500,000 in sales, All Clean Property Services needs to consistently deliver approximately 83 to 167 services per month, depending on the average value of each service.</w:t>
      </w:r>
      <w:r/>
    </w:p>
    <w:p>
      <w:pPr>
        <w:pStyle w:val="Heading2"/>
      </w:pPr>
      <w:r>
        <w:rPr>
          <w:color w:val="1F4E78"/>
        </w:rPr>
        <w:t>3. Profitability Projections (Base Case)</w:t>
      </w:r>
    </w:p>
    <w:p>
      <w:r>
        <w:t>Assuming the Base Scenario for revenue and cost structures: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($)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Revenue</w:t>
            </w:r>
          </w:p>
        </w:tc>
      </w:tr>
      <w:tr>
        <w:tc>
          <w:tcPr>
            <w:tcW w:type="dxa" w:w="2880"/>
          </w:tcPr>
          <w:p>
            <w:r>
              <w:t>**Revenue**</w:t>
            </w:r>
          </w:p>
        </w:tc>
        <w:tc>
          <w:tcPr>
            <w:tcW w:type="dxa" w:w="2880"/>
          </w:tcPr>
          <w:p>
            <w:r>
              <w:t>$500,000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Cost of Goods Sold</w:t>
            </w:r>
          </w:p>
        </w:tc>
        <w:tc>
          <w:tcPr>
            <w:tcW w:type="dxa" w:w="2880"/>
          </w:tcPr>
          <w:p>
            <w:r>
              <w:t>$225,000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**Gross Profit**</w:t>
            </w:r>
          </w:p>
        </w:tc>
        <w:tc>
          <w:tcPr>
            <w:tcW w:type="dxa" w:w="2880"/>
          </w:tcPr>
          <w:p>
            <w:r>
              <w:t>**$275,000**</w:t>
            </w:r>
          </w:p>
        </w:tc>
        <w:tc>
          <w:tcPr>
            <w:tcW w:type="dxa" w:w="2880"/>
          </w:tcPr>
          <w:p>
            <w:r>
              <w:t>**55%**</w:t>
            </w:r>
          </w:p>
        </w:tc>
      </w:tr>
      <w:tr>
        <w:tc>
          <w:tcPr>
            <w:tcW w:type="dxa" w:w="2880"/>
          </w:tcPr>
          <w:p>
            <w:r>
              <w:t>Operating Expenses</w:t>
            </w:r>
          </w:p>
        </w:tc>
        <w:tc>
          <w:tcPr>
            <w:tcW w:type="dxa" w:w="2880"/>
          </w:tcPr>
          <w:p>
            <w:r>
              <w:t>$100,000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**Net Profit**</w:t>
            </w:r>
          </w:p>
        </w:tc>
        <w:tc>
          <w:tcPr>
            <w:tcW w:type="dxa" w:w="2880"/>
          </w:tcPr>
          <w:p>
            <w:r>
              <w:t>**$175,000**</w:t>
            </w:r>
          </w:p>
        </w:tc>
        <w:tc>
          <w:tcPr>
            <w:tcW w:type="dxa" w:w="2880"/>
          </w:tcPr>
          <w:p>
            <w:r>
              <w:t>**35%**</w:t>
            </w:r>
          </w:p>
        </w:tc>
      </w:tr>
    </w:tbl>
    <w:p/>
    <w:p>
      <w:pPr>
        <w:pStyle w:val="Heading2"/>
      </w:pPr>
      <w:r>
        <w:rPr>
          <w:color w:val="1F4E78"/>
        </w:rPr>
        <w:t>4. Sensitivity Analysis (Impact of 20% Variation in Key Assumptions)</w:t>
      </w:r>
    </w:p>
    <w:p>
      <w:r>
        <w:t>This table illustrates how changes in key assumptions can impact net profit.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Bear Case (-20%)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Case ($)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Bull Case (+20%)</w:t>
            </w:r>
          </w:p>
        </w:tc>
      </w:tr>
      <w:tr>
        <w:tc>
          <w:tcPr>
            <w:tcW w:type="dxa" w:w="2160"/>
          </w:tcPr>
          <w:p>
            <w:r>
              <w:t>**Revenue**</w:t>
            </w:r>
          </w:p>
        </w:tc>
        <w:tc>
          <w:tcPr>
            <w:tcW w:type="dxa" w:w="2160"/>
          </w:tcPr>
          <w:p>
            <w:r>
              <w:t>$400,000</w:t>
            </w:r>
          </w:p>
        </w:tc>
        <w:tc>
          <w:tcPr>
            <w:tcW w:type="dxa" w:w="2160"/>
          </w:tcPr>
          <w:p>
            <w:r>
              <w:t>$500,000</w:t>
            </w:r>
          </w:p>
        </w:tc>
        <w:tc>
          <w:tcPr>
            <w:tcW w:type="dxa" w:w="2160"/>
          </w:tcPr>
          <w:p>
            <w:r>
              <w:t>$600,000</w:t>
            </w:r>
          </w:p>
        </w:tc>
      </w:tr>
      <w:tr>
        <w:tc>
          <w:tcPr>
            <w:tcW w:type="dxa" w:w="2160"/>
          </w:tcPr>
          <w:p>
            <w:r>
              <w:t>**ASV**</w:t>
            </w:r>
          </w:p>
        </w:tc>
        <w:tc>
          <w:tcPr>
            <w:tcW w:type="dxa" w:w="2160"/>
          </w:tcPr>
          <w:p>
            <w:r>
              <w:t>$280</w:t>
            </w:r>
          </w:p>
        </w:tc>
        <w:tc>
          <w:tcPr>
            <w:tcW w:type="dxa" w:w="2160"/>
          </w:tcPr>
          <w:p>
            <w:r>
              <w:t>$350</w:t>
            </w:r>
          </w:p>
        </w:tc>
        <w:tc>
          <w:tcPr>
            <w:tcW w:type="dxa" w:w="2160"/>
          </w:tcPr>
          <w:p>
            <w:r>
              <w:t>$420</w:t>
            </w:r>
          </w:p>
        </w:tc>
      </w:tr>
      <w:tr>
        <w:tc>
          <w:tcPr>
            <w:tcW w:type="dxa" w:w="2160"/>
          </w:tcPr>
          <w:p>
            <w:r>
              <w:t>**Services Needed**</w:t>
            </w:r>
          </w:p>
        </w:tc>
        <w:tc>
          <w:tcPr>
            <w:tcW w:type="dxa" w:w="2160"/>
          </w:tcPr>
          <w:p>
            <w:r>
              <w:t>1,429</w:t>
            </w:r>
          </w:p>
        </w:tc>
        <w:tc>
          <w:tcPr>
            <w:tcW w:type="dxa" w:w="2160"/>
          </w:tcPr>
          <w:p>
            <w:r>
              <w:t>1,429</w:t>
            </w:r>
          </w:p>
        </w:tc>
        <w:tc>
          <w:tcPr>
            <w:tcW w:type="dxa" w:w="2160"/>
          </w:tcPr>
          <w:p>
            <w:r>
              <w:t>1,429</w:t>
            </w:r>
          </w:p>
        </w:tc>
      </w:tr>
      <w:tr>
        <w:tc>
          <w:tcPr>
            <w:tcW w:type="dxa" w:w="2160"/>
          </w:tcPr>
          <w:p>
            <w:r>
              <w:t>**Gross Margin**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**COGS**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  <w:tc>
          <w:tcPr>
            <w:tcW w:type="dxa" w:w="2160"/>
          </w:tcPr>
          <w:p>
            <w:r>
              <w:t>$225,000</w:t>
            </w:r>
          </w:p>
        </w:tc>
        <w:tc>
          <w:tcPr>
            <w:tcW w:type="dxa" w:w="2160"/>
          </w:tcPr>
          <w:p>
            <w:r>
              <w:t>$240,000</w:t>
            </w:r>
          </w:p>
        </w:tc>
      </w:tr>
      <w:tr>
        <w:tc>
          <w:tcPr>
            <w:tcW w:type="dxa" w:w="2160"/>
          </w:tcPr>
          <w:p>
            <w:r>
              <w:t>**Gross Profit**</w:t>
            </w:r>
          </w:p>
        </w:tc>
        <w:tc>
          <w:tcPr>
            <w:tcW w:type="dxa" w:w="2160"/>
          </w:tcPr>
          <w:p>
            <w:r>
              <w:t>$200,000</w:t>
            </w:r>
          </w:p>
        </w:tc>
        <w:tc>
          <w:tcPr>
            <w:tcW w:type="dxa" w:w="2160"/>
          </w:tcPr>
          <w:p>
            <w:r>
              <w:t>$275,000</w:t>
            </w:r>
          </w:p>
        </w:tc>
        <w:tc>
          <w:tcPr>
            <w:tcW w:type="dxa" w:w="2160"/>
          </w:tcPr>
          <w:p>
            <w:r>
              <w:t>$360,000</w:t>
            </w:r>
          </w:p>
        </w:tc>
      </w:tr>
      <w:tr>
        <w:tc>
          <w:tcPr>
            <w:tcW w:type="dxa" w:w="2160"/>
          </w:tcPr>
          <w:p>
            <w:r>
              <w:t>**OpEx (% Rev)**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**OpEx ($)**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$90,000</w:t>
            </w:r>
          </w:p>
        </w:tc>
      </w:tr>
      <w:tr>
        <w:tc>
          <w:tcPr>
            <w:tcW w:type="dxa" w:w="2160"/>
          </w:tcPr>
          <w:p>
            <w:r>
              <w:t>**Net Profit**</w:t>
            </w:r>
          </w:p>
        </w:tc>
        <w:tc>
          <w:tcPr>
            <w:tcW w:type="dxa" w:w="2160"/>
          </w:tcPr>
          <w:p>
            <w:r>
              <w:t>$100,000</w:t>
            </w:r>
          </w:p>
        </w:tc>
        <w:tc>
          <w:tcPr>
            <w:tcW w:type="dxa" w:w="2160"/>
          </w:tcPr>
          <w:p>
            <w:r>
              <w:t>$175,000</w:t>
            </w:r>
          </w:p>
        </w:tc>
        <w:tc>
          <w:tcPr>
            <w:tcW w:type="dxa" w:w="2160"/>
          </w:tcPr>
          <w:p>
            <w:r>
              <w:t>$270,000</w:t>
            </w:r>
          </w:p>
        </w:tc>
      </w:tr>
    </w:tbl>
    <w:p/>
    <w:p>
      <w:r/>
      <w:r>
        <w:rPr>
          <w:i/>
        </w:rPr>
        <w:t>Note: Operating Expenses are assumed to have a fixed component, so as revenue increases, the OpEx percentage of revenue decreases, and vice-versa.</w:t>
      </w:r>
      <w:r/>
    </w:p>
    <w:p>
      <w:pPr>
        <w:pStyle w:val="Heading2"/>
      </w:pPr>
      <w:r>
        <w:rPr>
          <w:color w:val="1F4E78"/>
        </w:rPr>
        <w:t>5. Strategic Financial Recommendations</w:t>
      </w:r>
    </w:p>
    <w:p>
      <w:pPr>
        <w:pStyle w:val="Heading3"/>
      </w:pPr>
      <w:r>
        <w:rPr>
          <w:color w:val="1F4E78"/>
        </w:rPr>
        <w:t>A. Revenue Streams &amp; Pricing Strategies:</w:t>
      </w:r>
    </w:p>
    <w:p>
      <w:pPr>
        <w:pStyle w:val="ListBullet"/>
      </w:pPr>
      <w:r/>
      <w:r>
        <w:rPr>
          <w:b/>
        </w:rPr>
        <w:t>Diversify Service Offerings:</w:t>
      </w:r>
      <w:r>
        <w:t xml:space="preserve"> Expand into higher-value services like specialized roof/siding treatments, comprehensive power washing packages, or light landscaping (e.g., seasonal cleanups, small garden maintenance).</w:t>
      </w:r>
    </w:p>
    <w:p>
      <w:pPr>
        <w:pStyle w:val="ListBullet"/>
      </w:pPr>
      <w:r/>
      <w:r>
        <w:rPr>
          <w:b/>
        </w:rPr>
        <w:t>Tiered Residential Cleaning:</w:t>
      </w:r>
      <w:r>
        <w:t xml:space="preserve"> Offer basic, standard, and deep cleaning packages with clear pricing. Introduce subscription models for recurring clients with loyalty discounts.</w:t>
      </w:r>
    </w:p>
    <w:p>
      <w:pPr>
        <w:pStyle w:val="ListBullet"/>
      </w:pPr>
      <w:r/>
      <w:r>
        <w:rPr>
          <w:b/>
        </w:rPr>
        <w:t>Commercial Contracts:</w:t>
      </w:r>
      <w:r>
        <w:t xml:space="preserve"> Actively pursue small to medium commercial clients (offices, retail spaces). Develop tailored proposals and long-term contracts for stable revenue.</w:t>
      </w:r>
    </w:p>
    <w:p>
      <w:pPr>
        <w:pStyle w:val="ListBullet"/>
      </w:pPr>
      <w:r/>
      <w:r>
        <w:rPr>
          <w:b/>
        </w:rPr>
        <w:t>Bundle Services:</w:t>
      </w:r>
      <w:r>
        <w:t xml:space="preserve"> Create attractive packages (e.g., "Exterior Home Refresh" combining window, gutter, and power washing) at a slight discount to increase ASV.</w:t>
      </w:r>
    </w:p>
    <w:p>
      <w:pPr>
        <w:pStyle w:val="ListBullet"/>
      </w:pPr>
      <w:r/>
      <w:r>
        <w:rPr>
          <w:b/>
        </w:rPr>
        <w:t>Value-Based Pricing:</w:t>
      </w:r>
      <w:r>
        <w:t xml:space="preserve"> For specialized or premium services (e.g., eco-friendly cleaning), price based on the perceived value to the customer, not just cost-plus.</w:t>
      </w:r>
    </w:p>
    <w:p>
      <w:pPr>
        <w:pStyle w:val="ListBullet"/>
      </w:pPr>
      <w:r/>
      <w:r>
        <w:rPr>
          <w:b/>
        </w:rPr>
        <w:t>Dynamic Pricing:</w:t>
      </w:r>
      <w:r>
        <w:t xml:space="preserve"> Consider seasonal adjustments or premium pricing for urgent/weekend services.</w:t>
      </w:r>
    </w:p>
    <w:p>
      <w:pPr>
        <w:pStyle w:val="Heading3"/>
      </w:pPr>
      <w:r>
        <w:rPr>
          <w:color w:val="1F4E78"/>
        </w:rPr>
        <w:t>B. Cost Structure Optimization:</w:t>
      </w:r>
    </w:p>
    <w:p>
      <w:pPr>
        <w:pStyle w:val="ListBullet"/>
      </w:pPr>
      <w:r/>
      <w:r>
        <w:rPr>
          <w:b/>
        </w:rPr>
        <w:t>Labor Efficiency:</w:t>
      </w:r>
      <w:r>
        <w:t xml:space="preserve"> Implement efficient scheduling software, optimize routes, and provide ongoing training to improve service speed without compromising quality. Consider performance-based bonuses for teams.</w:t>
      </w:r>
    </w:p>
    <w:p>
      <w:pPr>
        <w:pStyle w:val="ListBullet"/>
      </w:pPr>
      <w:r/>
      <w:r>
        <w:rPr>
          <w:b/>
        </w:rPr>
        <w:t>Supply Chain Management:</w:t>
      </w:r>
      <w:r>
        <w:t xml:space="preserve"> Negotiate bulk discounts with suppliers for cleaning agents and equipment. Explore eco-friendly, concentrated products to reduce costs and appeal to a broader market.</w:t>
      </w:r>
    </w:p>
    <w:p>
      <w:pPr>
        <w:pStyle w:val="ListBullet"/>
      </w:pPr>
      <w:r/>
      <w:r>
        <w:rPr>
          <w:b/>
        </w:rPr>
        <w:t>Equipment Investment:</w:t>
      </w:r>
      <w:r>
        <w:t xml:space="preserve"> Invest in durable, efficient equipment that reduces labor time and improves service quality, leading to higher customer satisfaction and capacity.</w:t>
      </w:r>
    </w:p>
    <w:p>
      <w:pPr>
        <w:pStyle w:val="ListBullet"/>
      </w:pPr>
      <w:r/>
      <w:r>
        <w:rPr>
          <w:b/>
        </w:rPr>
        <w:t>Technology Adoption:</w:t>
      </w:r>
      <w:r>
        <w:t xml:space="preserve"> Utilize CRM software for customer management, scheduling tools for operational efficiency, and accounting software for better financial tracking.</w:t>
      </w:r>
    </w:p>
    <w:p>
      <w:pPr>
        <w:pStyle w:val="Heading3"/>
      </w:pPr>
      <w:r>
        <w:rPr>
          <w:color w:val="1F4E78"/>
        </w:rPr>
        <w:t>C. Profitability &amp; Cash Flow Management:</w:t>
      </w:r>
    </w:p>
    <w:p>
      <w:pPr>
        <w:pStyle w:val="ListBullet"/>
      </w:pPr>
      <w:r/>
      <w:r>
        <w:rPr>
          <w:b/>
        </w:rPr>
        <w:t>Monitor Unit Economics:</w:t>
      </w:r>
      <w:r>
        <w:t xml:space="preserve"> Regularly track Average Service Value (ASV), Cost of Goods Sold (COGS) per service, and Gross Profit per service.</w:t>
      </w:r>
    </w:p>
    <w:p>
      <w:pPr>
        <w:pStyle w:val="ListBullet"/>
      </w:pPr>
      <w:r/>
      <w:r>
        <w:rPr>
          <w:b/>
        </w:rPr>
        <w:t>Cash Flow Forecasting:</w:t>
      </w:r>
      <w:r>
        <w:t xml:space="preserve"> Implement robust cash flow forecasting to manage working capital, especially during seasonal fluctuations. Maintain a healthy cash reserve (minimum 3-6 months of operating expenses).</w:t>
      </w:r>
    </w:p>
    <w:p>
      <w:pPr>
        <w:pStyle w:val="ListBullet"/>
      </w:pPr>
      <w:r/>
      <w:r>
        <w:rPr>
          <w:b/>
        </w:rPr>
        <w:t>Invoice Management:</w:t>
      </w:r>
      <w:r>
        <w:t xml:space="preserve"> Ensure timely invoicing and follow-up on outstanding payments to optimize cash inflow.</w:t>
      </w:r>
    </w:p>
    <w:p>
      <w:pPr>
        <w:pStyle w:val="Heading2"/>
      </w:pPr>
      <w:r>
        <w:rPr>
          <w:color w:val="1F4E78"/>
        </w:rPr>
        <w:t>6. Key Financial Risks</w:t>
      </w:r>
    </w:p>
    <w:p>
      <w:r/>
      <w:r>
        <w:rPr>
          <w:b/>
        </w:rPr>
        <w:t>1. Market Risk: Pricing Pressure &amp; Competition (Score: 4x4 = 16)</w:t>
      </w:r>
      <w:r/>
    </w:p>
    <w:p>
      <w:pPr>
        <w:pStyle w:val="ListBullet"/>
      </w:pPr>
      <w:r/>
      <w:r>
        <w:rPr>
          <w:b/>
        </w:rPr>
        <w:t>Probability:</w:t>
      </w:r>
      <w:r>
        <w:t xml:space="preserve"> 4 (Likely) - Edmonton has numerous cleaning and property service providers.</w:t>
      </w:r>
    </w:p>
    <w:p>
      <w:pPr>
        <w:pStyle w:val="ListBullet"/>
      </w:pPr>
      <w:r/>
      <w:r>
        <w:rPr>
          <w:b/>
        </w:rPr>
        <w:t>Impact:</w:t>
      </w:r>
      <w:r>
        <w:t xml:space="preserve"> 4 (Significant) - Intense competition can force price reductions, eroding gross margins and making it harder to achieve revenue targets.</w:t>
      </w:r>
    </w:p>
    <w:p>
      <w:pPr>
        <w:pStyle w:val="ListBullet"/>
      </w:pPr>
      <w:r/>
      <w:r>
        <w:rPr>
          <w:b/>
        </w:rPr>
        <w:t>Mitigation:</w:t>
      </w:r>
      <w:r>
        <w:t xml:space="preserve"> Differentiate through superior service quality, specialized offerings, strong online reputation, and efficient operations. Implement value-based pricing for premium services.</w:t>
      </w:r>
    </w:p>
    <w:p>
      <w:r/>
      <w:r>
        <w:rPr>
          <w:b/>
        </w:rPr>
        <w:t>2. Execution Risk: Labor Availability &amp; Quality (Score: 4x4 = 16)</w:t>
      </w:r>
      <w:r/>
    </w:p>
    <w:p>
      <w:pPr>
        <w:pStyle w:val="ListBullet"/>
      </w:pPr>
      <w:r/>
      <w:r>
        <w:rPr>
          <w:b/>
        </w:rPr>
        <w:t>Probability:</w:t>
      </w:r>
      <w:r>
        <w:t xml:space="preserve"> 4 (Likely) - Finding and retaining skilled, reliable labor in the service industry can be challenging.</w:t>
      </w:r>
    </w:p>
    <w:p>
      <w:pPr>
        <w:pStyle w:val="ListBullet"/>
      </w:pPr>
      <w:r/>
      <w:r>
        <w:rPr>
          <w:b/>
        </w:rPr>
        <w:t>Impact:</w:t>
      </w:r>
      <w:r>
        <w:t xml:space="preserve"> 4 (Significant) - High turnover, poor quality work, or insufficient staff directly impact service delivery, customer satisfaction, and capacity to grow.</w:t>
      </w:r>
    </w:p>
    <w:p>
      <w:pPr>
        <w:pStyle w:val="ListBullet"/>
      </w:pPr>
      <w:r/>
      <w:r>
        <w:rPr>
          <w:b/>
        </w:rPr>
        <w:t>Mitigation:</w:t>
      </w:r>
      <w:r>
        <w:t xml:space="preserve"> Offer competitive wages and benefits, provide comprehensive training, foster a positive work environment, implement clear performance metrics, and consider cross-training staff.</w:t>
      </w:r>
    </w:p>
    <w:p>
      <w:r/>
      <w:r>
        <w:rPr>
          <w:b/>
        </w:rPr>
        <w:t>3. Financial Risk: Customer Acquisition Cost (CAC) vs. LTV (Score: 3x4 = 12)</w:t>
      </w:r>
      <w:r/>
    </w:p>
    <w:p>
      <w:pPr>
        <w:pStyle w:val="ListBullet"/>
      </w:pPr>
      <w:r/>
      <w:r>
        <w:rPr>
          <w:b/>
        </w:rPr>
        <w:t>Probability:</w:t>
      </w:r>
      <w:r>
        <w:t xml:space="preserve"> 3 (Moderate) - Marketing efforts might not yield sufficient ROI, leading to high CAC.</w:t>
      </w:r>
    </w:p>
    <w:p>
      <w:pPr>
        <w:pStyle w:val="ListBullet"/>
      </w:pPr>
      <w:r/>
      <w:r>
        <w:rPr>
          <w:b/>
        </w:rPr>
        <w:t>Impact:</w:t>
      </w:r>
      <w:r>
        <w:t xml:space="preserve"> 4 (Significant) - If the cost to acquire a new customer exceeds their lifetime value, growth becomes unsustainable.</w:t>
      </w:r>
    </w:p>
    <w:p>
      <w:pPr>
        <w:pStyle w:val="ListBullet"/>
      </w:pPr>
      <w:r/>
      <w:r>
        <w:rPr>
          <w:b/>
        </w:rPr>
        <w:t>Mitigation:</w:t>
      </w:r>
      <w:r>
        <w:t xml:space="preserve"> Focus on cost-effective marketing channels (local SEO, referrals, social media), track CAC rigorously, and prioritize customer retention to maximize LTV. Implement loyalty programs and excellent customer service.</w:t>
      </w:r>
    </w:p>
    <w:p>
      <w:pPr>
        <w:pStyle w:val="Heading2"/>
      </w:pPr>
      <w:r>
        <w:rPr>
          <w:color w:val="1F4E78"/>
        </w:rPr>
        <w:t>7. Email Marketing Campaign Financial Projections (6 Months)</w:t>
      </w:r>
    </w:p>
    <w:p>
      <w:pPr>
        <w:pStyle w:val="ListBullet"/>
      </w:pPr>
      <w:r/>
      <w:r>
        <w:rPr>
          <w:b/>
        </w:rPr>
        <w:t>Goal:</w:t>
      </w:r>
      <w:r>
        <w:t xml:space="preserve"> Contribute to increasing annual revenue from $250,000 to $500,000.</w:t>
      </w:r>
    </w:p>
    <w:p>
      <w:pPr>
        <w:pStyle w:val="ListBullet"/>
      </w:pPr>
      <w:r/>
      <w:r>
        <w:rPr>
          <w:b/>
        </w:rPr>
        <w:t>Campaign Duration:</w:t>
      </w:r>
      <w:r>
        <w:t xml:space="preserve"> 6 months</w:t>
      </w:r>
    </w:p>
    <w:p>
      <w:pPr>
        <w:pStyle w:val="ListBullet"/>
      </w:pPr>
      <w:r/>
      <w:r>
        <w:rPr>
          <w:b/>
        </w:rPr>
        <w:t>Email List Size:</w:t>
      </w:r>
      <w:r>
        <w:t xml:space="preserve"> 1,000 contacts (cleaned and sorted)</w:t>
      </w:r>
    </w:p>
    <w:p>
      <w:pPr>
        <w:pStyle w:val="ListBullet"/>
      </w:pPr>
      <w:r/>
      <w:r>
        <w:rPr>
          <w:b/>
        </w:rPr>
        <w:t>Average Service Value (ASV):</w:t>
      </w:r>
      <w:r>
        <w:t xml:space="preserve"> $350 (Base Case from Section 2)</w:t>
      </w:r>
    </w:p>
    <w:p>
      <w:r/>
      <w:r>
        <w:rPr>
          <w:b/>
        </w:rPr>
        <w:t>Assumptions for Email Campaign Performance: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Bear Case (-20%)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Bull Case (+20%)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Source/Assumption</w:t>
            </w:r>
          </w:p>
        </w:tc>
      </w:tr>
      <w:tr>
        <w:tc>
          <w:tcPr>
            <w:tcW w:type="dxa" w:w="1728"/>
          </w:tcPr>
          <w:p>
            <w:r>
              <w:t>Emails Sent (per subscriber/month)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Campaign Strategy / CFO Estimate</w:t>
            </w:r>
          </w:p>
        </w:tc>
      </w:tr>
      <w:tr>
        <w:tc>
          <w:tcPr>
            <w:tcW w:type="dxa" w:w="1728"/>
          </w:tcPr>
          <w:p>
            <w:r>
              <w:t>Total Emails Sent (6 months)</w:t>
            </w:r>
          </w:p>
        </w:tc>
        <w:tc>
          <w:tcPr>
            <w:tcW w:type="dxa" w:w="1728"/>
          </w:tcPr>
          <w:p>
            <w:r>
              <w:t>9,600</w:t>
            </w:r>
          </w:p>
        </w:tc>
        <w:tc>
          <w:tcPr>
            <w:tcW w:type="dxa" w:w="1728"/>
          </w:tcPr>
          <w:p>
            <w:r>
              <w:t>12,000</w:t>
            </w:r>
          </w:p>
        </w:tc>
        <w:tc>
          <w:tcPr>
            <w:tcW w:type="dxa" w:w="1728"/>
          </w:tcPr>
          <w:p>
            <w:r>
              <w:t>14,400</w:t>
            </w:r>
          </w:p>
        </w:tc>
        <w:tc>
          <w:tcPr>
            <w:tcW w:type="dxa" w:w="1728"/>
          </w:tcPr>
          <w:p>
            <w:r>
              <w:t>List Size * Emails/Month * 6</w:t>
            </w:r>
          </w:p>
        </w:tc>
      </w:tr>
      <w:tr>
        <w:tc>
          <w:tcPr>
            <w:tcW w:type="dxa" w:w="1728"/>
          </w:tcPr>
          <w:p>
            <w:r>
              <w:t>Open Rate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Industry Average (Cleaning Services) / CFO Est.</w:t>
            </w:r>
          </w:p>
        </w:tc>
      </w:tr>
      <w:tr>
        <w:tc>
          <w:tcPr>
            <w:tcW w:type="dxa" w:w="1728"/>
          </w:tcPr>
          <w:p>
            <w:r>
              <w:t>Click-Through Rate (CTR)</w:t>
            </w:r>
          </w:p>
        </w:tc>
        <w:tc>
          <w:tcPr>
            <w:tcW w:type="dxa" w:w="1728"/>
          </w:tcPr>
          <w:p>
            <w:r>
              <w:t>2.4%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3.6%</w:t>
            </w:r>
          </w:p>
        </w:tc>
        <w:tc>
          <w:tcPr>
            <w:tcW w:type="dxa" w:w="1728"/>
          </w:tcPr>
          <w:p>
            <w:r>
              <w:t>Industry Average (Cleaning Services) / CFO Est.</w:t>
            </w:r>
          </w:p>
        </w:tc>
      </w:tr>
      <w:tr>
        <w:tc>
          <w:tcPr>
            <w:tcW w:type="dxa" w:w="1728"/>
          </w:tcPr>
          <w:p>
            <w:r>
              <w:t>Conversion Rate (Click to Call)</w:t>
            </w:r>
          </w:p>
        </w:tc>
        <w:tc>
          <w:tcPr>
            <w:tcW w:type="dxa" w:w="1728"/>
          </w:tcPr>
          <w:p>
            <w:r>
              <w:t>12%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18%</w:t>
            </w:r>
          </w:p>
        </w:tc>
        <w:tc>
          <w:tcPr>
            <w:tcW w:type="dxa" w:w="1728"/>
          </w:tcPr>
          <w:p>
            <w:r>
              <w:t>CFO Estimate (Optimistic for clear CTA)</w:t>
            </w:r>
          </w:p>
        </w:tc>
      </w:tr>
      <w:tr>
        <w:tc>
          <w:tcPr>
            <w:tcW w:type="dxa" w:w="1728"/>
          </w:tcPr>
          <w:p>
            <w:r>
              <w:t>Conversion Rate (Call to Service)</w:t>
            </w:r>
          </w:p>
        </w:tc>
        <w:tc>
          <w:tcPr>
            <w:tcW w:type="dxa" w:w="1728"/>
          </w:tcPr>
          <w:p>
            <w:r>
              <w:t>32%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48%</w:t>
            </w:r>
          </w:p>
        </w:tc>
        <w:tc>
          <w:tcPr>
            <w:tcW w:type="dxa" w:w="1728"/>
          </w:tcPr>
          <w:p>
            <w:r>
              <w:t>CFO Estimate (Assumes good sales follow-up)</w:t>
            </w:r>
          </w:p>
        </w:tc>
      </w:tr>
    </w:tbl>
    <w:p/>
    <w:p>
      <w:r/>
      <w:r>
        <w:rPr>
          <w:b/>
        </w:rPr>
        <w:t>Projected Revenue Contribution (6 Months):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Emails Sent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Opens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Clicks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Calls Booked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Services Booked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Revenue Contribution</w:t>
            </w:r>
          </w:p>
        </w:tc>
      </w:tr>
      <w:tr>
        <w:tc>
          <w:tcPr>
            <w:tcW w:type="dxa" w:w="1234"/>
          </w:tcPr>
          <w:p>
            <w:r>
              <w:t>Bear</w:t>
            </w:r>
          </w:p>
        </w:tc>
        <w:tc>
          <w:tcPr>
            <w:tcW w:type="dxa" w:w="1234"/>
          </w:tcPr>
          <w:p>
            <w:r>
              <w:t>9,600</w:t>
            </w:r>
          </w:p>
        </w:tc>
        <w:tc>
          <w:tcPr>
            <w:tcW w:type="dxa" w:w="1234"/>
          </w:tcPr>
          <w:p>
            <w:r>
              <w:t>1,920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5.5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$630</w:t>
            </w:r>
          </w:p>
        </w:tc>
      </w:tr>
      <w:tr>
        <w:tc>
          <w:tcPr>
            <w:tcW w:type="dxa" w:w="1234"/>
          </w:tcPr>
          <w:p>
            <w:r>
              <w:t>**Base**</w:t>
            </w:r>
          </w:p>
        </w:tc>
        <w:tc>
          <w:tcPr>
            <w:tcW w:type="dxa" w:w="1234"/>
          </w:tcPr>
          <w:p>
            <w:r>
              <w:t>**12,000**</w:t>
            </w:r>
          </w:p>
        </w:tc>
        <w:tc>
          <w:tcPr>
            <w:tcW w:type="dxa" w:w="1234"/>
          </w:tcPr>
          <w:p>
            <w:r>
              <w:t>**3,000**</w:t>
            </w:r>
          </w:p>
        </w:tc>
        <w:tc>
          <w:tcPr>
            <w:tcW w:type="dxa" w:w="1234"/>
          </w:tcPr>
          <w:p>
            <w:r>
              <w:t>**90**</w:t>
            </w:r>
          </w:p>
        </w:tc>
        <w:tc>
          <w:tcPr>
            <w:tcW w:type="dxa" w:w="1234"/>
          </w:tcPr>
          <w:p>
            <w:r>
              <w:t>**13.5**</w:t>
            </w:r>
          </w:p>
        </w:tc>
        <w:tc>
          <w:tcPr>
            <w:tcW w:type="dxa" w:w="1234"/>
          </w:tcPr>
          <w:p>
            <w:r>
              <w:t>**5.4**</w:t>
            </w:r>
          </w:p>
        </w:tc>
        <w:tc>
          <w:tcPr>
            <w:tcW w:type="dxa" w:w="1234"/>
          </w:tcPr>
          <w:p>
            <w:r>
              <w:t>**$1,890**</w:t>
            </w:r>
          </w:p>
        </w:tc>
      </w:tr>
      <w:tr>
        <w:tc>
          <w:tcPr>
            <w:tcW w:type="dxa" w:w="1234"/>
          </w:tcPr>
          <w:p>
            <w:r>
              <w:t>Bull</w:t>
            </w:r>
          </w:p>
        </w:tc>
        <w:tc>
          <w:tcPr>
            <w:tcW w:type="dxa" w:w="1234"/>
          </w:tcPr>
          <w:p>
            <w:r>
              <w:t>14,400</w:t>
            </w:r>
          </w:p>
        </w:tc>
        <w:tc>
          <w:tcPr>
            <w:tcW w:type="dxa" w:w="1234"/>
          </w:tcPr>
          <w:p>
            <w:r>
              <w:t>4,320</w:t>
            </w:r>
          </w:p>
        </w:tc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28.1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$4,725</w:t>
            </w:r>
          </w:p>
        </w:tc>
      </w:tr>
    </w:tbl>
    <w:p/>
    <w:p>
      <w:r/>
      <w:r>
        <w:rPr>
          <w:i/>
        </w:rPr>
        <w:t xml:space="preserve">Note: Revenue contribution is calculated as Services Booked </w:t>
      </w:r>
      <w:r>
        <w:t xml:space="preserve"> Average Service Value ($350).*</w:t>
      </w:r>
    </w:p>
    <w:p>
      <w:r/>
      <w:r>
        <w:rPr>
          <w:b/>
        </w:rPr>
        <w:t>Cost of Email Campaign (6 Months):</w:t>
      </w:r>
      <w:r/>
    </w:p>
    <w:p>
      <w:pPr>
        <w:pStyle w:val="ListBullet"/>
      </w:pPr>
      <w:r>
        <w:t>Sender.net Subscription: $20/month * 6 months = $120</w:t>
      </w:r>
    </w:p>
    <w:p>
      <w:pPr>
        <w:pStyle w:val="ListBullet"/>
      </w:pPr>
      <w:r>
        <w:t>Content Creation/Management: Assumed to be absorbed within existing operational overhead for this initial phase.</w:t>
      </w:r>
    </w:p>
    <w:p>
      <w:r/>
      <w:r>
        <w:rPr>
          <w:b/>
        </w:rPr>
        <w:t>Return on Investment (ROI) - Base Case:</w:t>
      </w:r>
      <w:r/>
    </w:p>
    <w:p>
      <w:pPr>
        <w:pStyle w:val="ListBullet"/>
      </w:pPr>
      <w:r>
        <w:t>Net Gain = Revenue Contribution - Direct Campaign Cost</w:t>
      </w:r>
    </w:p>
    <w:p>
      <w:pPr>
        <w:pStyle w:val="ListBullet"/>
      </w:pPr>
      <w:r>
        <w:t>Net Gain = $1,890 - $120 = $1,770</w:t>
      </w:r>
    </w:p>
    <w:p>
      <w:pPr>
        <w:pStyle w:val="ListBullet"/>
      </w:pPr>
      <w:r>
        <w:t>ROI = (Net Gain / Direct Campaign Cost) * 100%</w:t>
      </w:r>
    </w:p>
    <w:p>
      <w:pPr>
        <w:pStyle w:val="ListBullet"/>
      </w:pPr>
      <w:r>
        <w:t xml:space="preserve">ROI = ($1,770 / $120) </w:t>
      </w:r>
      <w:r>
        <w:rPr>
          <w:i/>
        </w:rPr>
        <w:t xml:space="preserve"> 100% = </w:t>
      </w:r>
      <w:r/>
      <w:r>
        <w:rPr>
          <w:i/>
        </w:rPr>
        <w:t>1475%</w:t>
      </w:r>
      <w:r>
        <w:t>*</w:t>
      </w:r>
    </w:p>
    <w:p>
      <w:r/>
      <w:r>
        <w:rPr>
          <w:b/>
        </w:rPr>
        <w:t>Revenue Impact Analysis:</w:t>
      </w:r>
      <w:r/>
    </w:p>
    <w:p>
      <w:pPr>
        <w:pStyle w:val="ListBullet"/>
      </w:pPr>
      <w:r>
        <w:t xml:space="preserve">The email campaign is projected to contribute approximately </w:t>
      </w:r>
      <w:r>
        <w:rPr>
          <w:b/>
        </w:rPr>
        <w:t>$1,890</w:t>
      </w:r>
      <w:r>
        <w:t xml:space="preserve"> in new revenue over 6 months in the Base Case.</w:t>
      </w:r>
    </w:p>
    <w:p>
      <w:pPr>
        <w:pStyle w:val="ListBullet"/>
      </w:pPr>
      <w:r>
        <w:t xml:space="preserve">This represents a </w:t>
      </w:r>
      <w:r>
        <w:rPr>
          <w:b/>
        </w:rPr>
        <w:t>0.76%</w:t>
      </w:r>
      <w:r>
        <w:t xml:space="preserve"> increase over the current annual revenue of $250,000 (for 6 months, it's 1.52% of half the annual revenue).</w:t>
      </w:r>
    </w:p>
    <w:p>
      <w:pPr>
        <w:pStyle w:val="ListBullet"/>
      </w:pPr>
      <w:r/>
      <w:r>
        <w:rPr>
          <w:b/>
        </w:rPr>
        <w:t>Conclusion:</w:t>
      </w:r>
      <w:r>
        <w:t xml:space="preserve"> While the email campaign offers a very high ROI on direct platform costs, its direct revenue contribution alone is </w:t>
      </w:r>
      <w:r>
        <w:rPr>
          <w:b/>
        </w:rPr>
        <w:t>insufficient to achieve the target of doubling annual revenue to $500,000 within 6 months.</w:t>
      </w:r>
      <w:r>
        <w:t xml:space="preserve"> The campaign will be a valuable component for client retention and lead nurturing, but significant growth will require:</w:t>
      </w:r>
    </w:p>
    <w:p>
      <w:pPr>
        <w:pStyle w:val="ListBullet"/>
      </w:pPr>
      <w:r/>
      <w:r>
        <w:rPr>
          <w:b/>
        </w:rPr>
        <w:t>Expanding the email list size</w:t>
      </w:r>
      <w:r>
        <w:t xml:space="preserve"> substantially.</w:t>
      </w:r>
    </w:p>
    <w:p>
      <w:pPr>
        <w:pStyle w:val="ListBullet"/>
      </w:pPr>
      <w:r/>
      <w:r>
        <w:rPr>
          <w:b/>
        </w:rPr>
        <w:t>Increasing service frequency</w:t>
      </w:r>
      <w:r>
        <w:t xml:space="preserve"> for existing clients.</w:t>
      </w:r>
    </w:p>
    <w:p>
      <w:pPr>
        <w:pStyle w:val="ListBullet"/>
      </w:pPr>
      <w:r/>
      <w:r>
        <w:rPr>
          <w:b/>
        </w:rPr>
        <w:t>Introducing higher-value service packages.</w:t>
      </w:r>
      <w:r/>
    </w:p>
    <w:p>
      <w:pPr>
        <w:pStyle w:val="ListBullet"/>
      </w:pPr>
      <w:r/>
      <w:r>
        <w:rPr>
          <w:b/>
        </w:rPr>
        <w:t>Leveraging other marketing channels</w:t>
      </w:r>
      <w:r>
        <w:t xml:space="preserve"> and sales efforts.</w:t>
      </w:r>
    </w:p>
    <w:p>
      <w:pPr>
        <w:pStyle w:val="ListBullet"/>
      </w:pPr>
      <w:r/>
      <w:r>
        <w:rPr>
          <w:b/>
        </w:rPr>
        <w:t>Optimizing conversion rates</w:t>
      </w:r>
      <w:r>
        <w:t xml:space="preserve"> across the entire funnel (email open to service booked).</w:t>
      </w:r>
    </w:p>
    <w:p>
      <w:r/>
      <w:r>
        <w:rPr>
          <w:b/>
        </w:rPr>
        <w:t>Key Performance Indicators (KPIs) for Email Marketing Campaign:</w:t>
      </w:r>
      <w:r/>
    </w:p>
    <w:p>
      <w:pPr>
        <w:pStyle w:val="ListNumber"/>
      </w:pPr>
      <w:r/>
      <w:r>
        <w:rPr>
          <w:b/>
        </w:rPr>
        <w:t>Email Open Rate:</w:t>
      </w:r>
      <w:r>
        <w:t xml:space="preserve"> Percentage of recipients who open an email.</w:t>
      </w:r>
    </w:p>
    <w:p>
      <w:pPr>
        <w:pStyle w:val="ListBullet"/>
      </w:pPr>
      <w:r/>
      <w:r>
        <w:rPr>
          <w:i/>
        </w:rPr>
        <w:t>Target:</w:t>
      </w:r>
      <w:r>
        <w:t xml:space="preserve"> 25%+</w:t>
      </w:r>
    </w:p>
    <w:p>
      <w:pPr>
        <w:pStyle w:val="ListNumber"/>
      </w:pPr>
      <w:r/>
      <w:r>
        <w:rPr>
          <w:b/>
        </w:rPr>
        <w:t>Click-Through Rate (CTR):</w:t>
      </w:r>
      <w:r>
        <w:t xml:space="preserve"> Percentage of recipients who click a link in the email.</w:t>
      </w:r>
    </w:p>
    <w:p>
      <w:pPr>
        <w:pStyle w:val="ListBullet"/>
      </w:pPr>
      <w:r/>
      <w:r>
        <w:rPr>
          <w:i/>
        </w:rPr>
        <w:t>Target:</w:t>
      </w:r>
      <w:r>
        <w:t xml:space="preserve"> 3%+</w:t>
      </w:r>
    </w:p>
    <w:p>
      <w:pPr>
        <w:pStyle w:val="ListNumber"/>
      </w:pPr>
      <w:r/>
      <w:r>
        <w:rPr>
          <w:b/>
        </w:rPr>
        <w:t>Conversion Rate (Click to Call/Quote Request):</w:t>
      </w:r>
      <w:r>
        <w:t xml:space="preserve"> Percentage of clicks that result in a booked call or quote request.</w:t>
      </w:r>
    </w:p>
    <w:p>
      <w:pPr>
        <w:pStyle w:val="ListBullet"/>
      </w:pPr>
      <w:r/>
      <w:r>
        <w:rPr>
          <w:i/>
        </w:rPr>
        <w:t>Target:</w:t>
      </w:r>
      <w:r>
        <w:t xml:space="preserve"> 15%+</w:t>
      </w:r>
    </w:p>
    <w:p>
      <w:pPr>
        <w:pStyle w:val="ListNumber"/>
      </w:pPr>
      <w:r/>
      <w:r>
        <w:rPr>
          <w:b/>
        </w:rPr>
        <w:t>Conversion Rate (Call to Service Booked):</w:t>
      </w:r>
      <w:r>
        <w:t xml:space="preserve"> Percentage of booked calls that convert into actual services.</w:t>
      </w:r>
    </w:p>
    <w:p>
      <w:pPr>
        <w:pStyle w:val="ListBullet"/>
      </w:pPr>
      <w:r/>
      <w:r>
        <w:rPr>
          <w:i/>
        </w:rPr>
        <w:t>Target:</w:t>
      </w:r>
      <w:r>
        <w:t xml:space="preserve"> 40%+</w:t>
      </w:r>
    </w:p>
    <w:p>
      <w:pPr>
        <w:pStyle w:val="ListNumber"/>
      </w:pPr>
      <w:r/>
      <w:r>
        <w:rPr>
          <w:b/>
        </w:rPr>
        <w:t>Revenue Attributed to Email Campaign:</w:t>
      </w:r>
      <w:r>
        <w:t xml:space="preserve"> Total revenue generated directly from email campaign conversions.</w:t>
      </w:r>
    </w:p>
    <w:p>
      <w:pPr>
        <w:pStyle w:val="ListBullet"/>
      </w:pPr>
      <w:r/>
      <w:r>
        <w:rPr>
          <w:i/>
        </w:rPr>
        <w:t>Target:</w:t>
      </w:r>
      <w:r>
        <w:t xml:space="preserve"> Track actual vs. projected.</w:t>
      </w:r>
    </w:p>
    <w:p>
      <w:pPr>
        <w:pStyle w:val="ListNumber"/>
      </w:pPr>
      <w:r/>
      <w:r>
        <w:rPr>
          <w:b/>
        </w:rPr>
        <w:t>Customer Lifetime Value (LTV) of Email-Acquired Clients:</w:t>
      </w:r>
      <w:r>
        <w:t xml:space="preserve"> The total revenue expected from a customer acquired through email over their relationship with the company.</w:t>
      </w:r>
    </w:p>
    <w:p>
      <w:pPr>
        <w:pStyle w:val="ListBullet"/>
      </w:pPr>
      <w:r/>
      <w:r>
        <w:rPr>
          <w:i/>
        </w:rPr>
        <w:t>Target:</w:t>
      </w:r>
      <w:r>
        <w:t xml:space="preserve"> Monitor and compare to CAC.</w:t>
      </w:r>
    </w:p>
    <w:p>
      <w:pPr>
        <w:pStyle w:val="ListNumber"/>
      </w:pPr>
      <w:r/>
      <w:r>
        <w:rPr>
          <w:b/>
        </w:rPr>
        <w:t>Customer Acquisition Cost (CAC) via Email:</w:t>
      </w:r>
      <w:r>
        <w:t xml:space="preserve"> Total cost of email campaign divided by the number of new customers acquired through email.</w:t>
      </w:r>
    </w:p>
    <w:p>
      <w:pPr>
        <w:pStyle w:val="ListBullet"/>
      </w:pPr>
      <w:r/>
      <w:r>
        <w:rPr>
          <w:i/>
        </w:rPr>
        <w:t>Target:</w:t>
      </w:r>
      <w:r>
        <w:t xml:space="preserve"> Keep low, ensure LTV:CAC &gt; 3:1.</w:t>
      </w:r>
    </w:p>
    <w:p>
      <w:pPr>
        <w:pStyle w:val="ListNumber"/>
      </w:pPr>
      <w:r/>
      <w:r>
        <w:rPr>
          <w:b/>
        </w:rPr>
        <w:t>Unsubscribe Rate:</w:t>
      </w:r>
      <w:r>
        <w:t xml:space="preserve"> Percentage of recipients who unsubscribe from the email list.</w:t>
      </w:r>
    </w:p>
    <w:p>
      <w:pPr>
        <w:pStyle w:val="ListBullet"/>
      </w:pPr>
      <w:r/>
      <w:r>
        <w:rPr>
          <w:i/>
        </w:rPr>
        <w:t>Target:</w:t>
      </w:r>
      <w:r>
        <w:t xml:space="preserve"> Keep below 0.5% to ensure content relevance.</w:t>
      </w:r>
    </w:p>
    <w:p>
      <w:pPr>
        <w:pStyle w:val="ListNumber"/>
      </w:pPr>
      <w:r/>
      <w:r>
        <w:rPr>
          <w:b/>
        </w:rPr>
        <w:t>Email List Growth Rate:</w:t>
      </w:r>
      <w:r>
        <w:t xml:space="preserve"> Rate at which new, qualified contacts are added to the email list.</w:t>
      </w:r>
    </w:p>
    <w:p>
      <w:pPr>
        <w:pStyle w:val="ListBullet"/>
      </w:pPr>
      <w:r/>
      <w:r>
        <w:rPr>
          <w:i/>
        </w:rPr>
        <w:t>Target:</w:t>
      </w:r>
      <w:r>
        <w:t xml:space="preserve"> Consistent growth to expand reach.</w:t>
      </w:r>
    </w:p>
    <w:p>
      <w:pPr>
        <w:pStyle w:val="Heading2"/>
      </w:pPr>
      <w:r>
        <w:rPr>
          <w:color w:val="1F4E78"/>
        </w:rPr>
        <w:t>8. Key Financial Risks for Email Marketing Campaign</w:t>
      </w:r>
    </w:p>
    <w:p>
      <w:pPr>
        <w:pStyle w:val="ListNumber"/>
      </w:pPr>
      <w:r/>
      <w:r>
        <w:rPr>
          <w:b/>
        </w:rPr>
        <w:t>Financial Risk: Low Conversion Volume (Score: 4x5 = 20)</w:t>
      </w:r>
      <w:r/>
    </w:p>
    <w:p>
      <w:pPr>
        <w:pStyle w:val="ListBullet"/>
      </w:pPr>
      <w:r/>
      <w:r>
        <w:rPr>
          <w:b/>
        </w:rPr>
        <w:t>Probability:</w:t>
      </w:r>
      <w:r>
        <w:t xml:space="preserve"> 4 (Likely) - Achieving high conversion rates from a cold/general list is challenging.</w:t>
      </w:r>
    </w:p>
    <w:p>
      <w:pPr>
        <w:pStyle w:val="ListBullet"/>
      </w:pPr>
      <w:r/>
      <w:r>
        <w:rPr>
          <w:b/>
        </w:rPr>
        <w:t>Impact:</w:t>
      </w:r>
      <w:r>
        <w:t xml:space="preserve"> 5 (Existential to campaign goal) - If the volume of conversions remains low, the campaign will not significantly contribute to the $500,000 revenue target.</w:t>
      </w:r>
    </w:p>
    <w:p>
      <w:pPr>
        <w:pStyle w:val="ListBullet"/>
      </w:pPr>
      <w:r/>
      <w:r>
        <w:rPr>
          <w:b/>
        </w:rPr>
        <w:t>Mitigation:</w:t>
      </w:r>
      <w:r>
        <w:t xml:space="preserve"> Aggressively A/B test email content, subject lines, and CTAs. Implement strong lead nurturing sequences. Focus on building trust and providing value before direct sales. Invest in list growth strategies.</w:t>
      </w:r>
    </w:p>
    <w:p>
      <w:pPr>
        <w:pStyle w:val="ListNumber"/>
      </w:pPr>
      <w:r/>
      <w:r>
        <w:rPr>
          <w:b/>
        </w:rPr>
        <w:t>Execution Risk: Content Fatigue/Irrelevance (Score: 3x4 = 12)</w:t>
      </w:r>
      <w:r/>
    </w:p>
    <w:p>
      <w:pPr>
        <w:pStyle w:val="ListBullet"/>
      </w:pPr>
      <w:r/>
      <w:r>
        <w:rPr>
          <w:b/>
        </w:rPr>
        <w:t>Probability:</w:t>
      </w:r>
      <w:r>
        <w:t xml:space="preserve"> 3 (Moderate) - Sending too many irrelevant emails can lead to unsubscribes and reduced engagement.</w:t>
      </w:r>
    </w:p>
    <w:p>
      <w:pPr>
        <w:pStyle w:val="ListBullet"/>
      </w:pPr>
      <w:r/>
      <w:r>
        <w:rPr>
          <w:b/>
        </w:rPr>
        <w:t>Impact:</w:t>
      </w:r>
      <w:r>
        <w:t xml:space="preserve"> 4 (Significant) - Damages brand reputation, reduces future campaign effectiveness, and shrinks the valuable email list.</w:t>
      </w:r>
    </w:p>
    <w:p>
      <w:pPr>
        <w:pStyle w:val="ListBullet"/>
      </w:pPr>
      <w:r/>
      <w:r>
        <w:rPr>
          <w:b/>
        </w:rPr>
        <w:t>Mitigation:</w:t>
      </w:r>
      <w:r>
        <w:t xml:space="preserve"> Strict adherence to segmentation and personalization. Balance value-add content with promotional offers. Allow easy preference management. Monitor unsubscribe rates closely.</w:t>
      </w:r>
    </w:p>
    <w:p>
      <w:pPr>
        <w:pStyle w:val="ListNumber"/>
      </w:pPr>
      <w:r/>
      <w:r>
        <w:rPr>
          <w:b/>
        </w:rPr>
        <w:t>Market Risk: Competitive Email Saturation (Score: 3x3 = 9)</w:t>
      </w:r>
      <w:r/>
    </w:p>
    <w:p>
      <w:pPr>
        <w:pStyle w:val="ListBullet"/>
      </w:pPr>
      <w:r/>
      <w:r>
        <w:rPr>
          <w:b/>
        </w:rPr>
        <w:t>Probability:</w:t>
      </w:r>
      <w:r>
        <w:t xml:space="preserve"> 3 (Moderate) - Competitors may also be using email marketing, leading to crowded inboxes.</w:t>
      </w:r>
    </w:p>
    <w:p>
      <w:pPr>
        <w:pStyle w:val="ListBullet"/>
      </w:pPr>
      <w:r/>
      <w:r>
        <w:rPr>
          <w:b/>
        </w:rPr>
        <w:t>Impact:</w:t>
      </w:r>
      <w:r>
        <w:t xml:space="preserve"> 3 (Moderate) - Can reduce open rates and CTRs if messages don't stand out.</w:t>
      </w:r>
    </w:p>
    <w:p>
      <w:pPr>
        <w:pStyle w:val="ListBullet"/>
      </w:pPr>
      <w:r/>
      <w:r>
        <w:rPr>
          <w:b/>
        </w:rPr>
        <w:t>Mitigation:</w:t>
      </w:r>
      <w:r>
        <w:t xml:space="preserve"> Develop unique value propositions and messaging. Use compelling subject lines and engaging visuals. Focus on building a strong brand 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