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Livestock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CH₄ emissions in 2005 (kt CO₂e)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CH₄ emissions in 2022 (kt CO₂e)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Change in CH₄ emissions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N₂O emissions in 2005 (kt CO₂e)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N₂O emissions in 2022 (kt CO₂e)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Change in N₂O emissions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Animal population in 2006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Animal population in 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Change in animal population 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1,356.5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1,109.1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2,642.1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2,056.4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12,560,500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9,603,800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-23.5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1,076.9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2,094,600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1,911,200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1,978.9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1,900.7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15,043,132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14,568,669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Poultry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133,006,178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158,383,356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Horse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453,965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183,733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-59.5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Sheep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1,142,877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1,052,365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4,376.4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4,340.2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3,635.8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2,944.1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NA: Not available</w:t>
            </w:r>
          </w:p>
        </w:tc>
      </w:tr>
      <w:tr>
        <w:trPr>
          <w:cantSplit/>
        </w:trPr>
        <w:tc>
          <w:tcPr>
            <w:gridSpan w:val="10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a</w:t>
            </w:r>
            <w:r>
              <w:rPr>
                <w:rFonts w:ascii="Calibri" w:hAnsi="Calibri"/>
                <w:sz w:val="20"/>
              </w:rPr>
              <w:t xml:space="default">To avoid any confusion, animals were not counted for other because of the large diversity in animal size within this category.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2024-08-27T12:40:04Z</dcterms:created>
  <dcterms:modified xsi:type="dcterms:W3CDTF">2024-08-27T12:40:04Z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