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D7" w:rsidRDefault="00314E61" w:rsidP="00513351">
      <w:pPr>
        <w:jc w:val="center"/>
        <w:rPr>
          <w:b/>
          <w:u w:val="single"/>
        </w:rPr>
      </w:pPr>
      <w:r>
        <w:rPr>
          <w:b/>
          <w:u w:val="single"/>
        </w:rPr>
        <w:t xml:space="preserve">PFF-DART  </w:t>
      </w:r>
      <w:proofErr w:type="spellStart"/>
      <w:r w:rsidR="00A72FD7" w:rsidRPr="00513351">
        <w:rPr>
          <w:b/>
          <w:u w:val="single"/>
        </w:rPr>
        <w:t>Namelist</w:t>
      </w:r>
      <w:proofErr w:type="spellEnd"/>
      <w:r w:rsidR="00A72FD7" w:rsidRPr="00513351">
        <w:rPr>
          <w:b/>
          <w:u w:val="single"/>
        </w:rPr>
        <w:t xml:space="preserve"> descriptions</w:t>
      </w:r>
    </w:p>
    <w:p w:rsidR="001E7B12" w:rsidRDefault="001E7B12" w:rsidP="001E7B12">
      <w:pPr>
        <w:rPr>
          <w:b/>
          <w:u w:val="single"/>
        </w:rPr>
      </w:pPr>
    </w:p>
    <w:p w:rsidR="003F35AD" w:rsidRPr="004F2E29" w:rsidRDefault="003F35AD" w:rsidP="001E7B12">
      <w:r w:rsidRPr="004F2E29">
        <w:rPr>
          <w:color w:val="FF0000"/>
        </w:rPr>
        <w:t>The sensitivity tests in the paper are based on tuning the parameters in red</w:t>
      </w:r>
      <w:r w:rsidR="004F2E29" w:rsidRPr="004F2E29">
        <w:t>, and the other parameters are held fixed in the current experiments.</w:t>
      </w:r>
    </w:p>
    <w:p w:rsidR="004F2E29" w:rsidRPr="004F2E29" w:rsidRDefault="004F2E29" w:rsidP="001E7B12">
      <w:pPr>
        <w:rPr>
          <w:color w:val="FF0000"/>
        </w:rPr>
      </w:pPr>
    </w:p>
    <w:p w:rsidR="00A72FD7" w:rsidRPr="00504EAD" w:rsidRDefault="00504EAD" w:rsidP="00A72FD7">
      <w:pPr>
        <w:rPr>
          <w:b/>
          <w:i/>
        </w:rPr>
      </w:pPr>
      <w:r w:rsidRPr="00504EAD">
        <w:rPr>
          <w:b/>
          <w:i/>
        </w:rPr>
        <w:t>Main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A72FD7" w:rsidTr="00A72FD7">
        <w:tc>
          <w:tcPr>
            <w:tcW w:w="2765" w:type="dxa"/>
          </w:tcPr>
          <w:p w:rsidR="00A72FD7" w:rsidRDefault="00A72FD7" w:rsidP="00A72FD7"/>
        </w:tc>
        <w:tc>
          <w:tcPr>
            <w:tcW w:w="916" w:type="dxa"/>
          </w:tcPr>
          <w:p w:rsidR="00A72FD7" w:rsidRDefault="00A72FD7" w:rsidP="00A72FD7">
            <w:r>
              <w:t>value</w:t>
            </w:r>
          </w:p>
        </w:tc>
        <w:tc>
          <w:tcPr>
            <w:tcW w:w="4615" w:type="dxa"/>
          </w:tcPr>
          <w:p w:rsidR="00A72FD7" w:rsidRDefault="00A72FD7" w:rsidP="00A72FD7">
            <w:r>
              <w:rPr>
                <w:rFonts w:hint="eastAsia"/>
              </w:rPr>
              <w:t>D</w:t>
            </w:r>
            <w:r>
              <w:t>escriptions</w:t>
            </w:r>
          </w:p>
        </w:tc>
      </w:tr>
      <w:tr w:rsidR="00A44123" w:rsidRPr="00A44123" w:rsidTr="00A72FD7">
        <w:tc>
          <w:tcPr>
            <w:tcW w:w="2765" w:type="dxa"/>
          </w:tcPr>
          <w:p w:rsidR="00A72FD7" w:rsidRPr="00A44123" w:rsidRDefault="00A72FD7" w:rsidP="00A72FD7">
            <w:pPr>
              <w:rPr>
                <w:color w:val="FF0000"/>
              </w:rPr>
            </w:pPr>
            <w:proofErr w:type="spellStart"/>
            <w:r w:rsidRPr="00A44123">
              <w:rPr>
                <w:color w:val="FF0000"/>
              </w:rPr>
              <w:t>max_iter</w:t>
            </w:r>
            <w:proofErr w:type="spellEnd"/>
          </w:p>
        </w:tc>
        <w:tc>
          <w:tcPr>
            <w:tcW w:w="916" w:type="dxa"/>
          </w:tcPr>
          <w:p w:rsidR="00A72FD7" w:rsidRPr="00A44123" w:rsidRDefault="00A72FD7" w:rsidP="00A72FD7">
            <w:pPr>
              <w:rPr>
                <w:color w:val="FF0000"/>
              </w:rPr>
            </w:pPr>
            <w:r w:rsidRPr="00A44123">
              <w:rPr>
                <w:rFonts w:hint="eastAsia"/>
                <w:color w:val="FF0000"/>
              </w:rPr>
              <w:t>3</w:t>
            </w:r>
            <w:r w:rsidRPr="00A44123">
              <w:rPr>
                <w:color w:val="FF0000"/>
              </w:rPr>
              <w:t>0</w:t>
            </w:r>
          </w:p>
        </w:tc>
        <w:tc>
          <w:tcPr>
            <w:tcW w:w="4615" w:type="dxa"/>
          </w:tcPr>
          <w:p w:rsidR="00A72FD7" w:rsidRPr="00A44123" w:rsidRDefault="00A72FD7" w:rsidP="00A72FD7">
            <w:pPr>
              <w:rPr>
                <w:color w:val="FF0000"/>
              </w:rPr>
            </w:pPr>
            <w:r w:rsidRPr="00A44123">
              <w:rPr>
                <w:color w:val="FF0000"/>
              </w:rPr>
              <w:t>Number of PFF iterations</w:t>
            </w:r>
          </w:p>
        </w:tc>
      </w:tr>
      <w:tr w:rsidR="00A44123" w:rsidRPr="00A44123" w:rsidTr="00DF20F1">
        <w:tc>
          <w:tcPr>
            <w:tcW w:w="2765" w:type="dxa"/>
          </w:tcPr>
          <w:p w:rsidR="00DF20F1" w:rsidRPr="00A44123" w:rsidRDefault="00DF20F1" w:rsidP="00DC6317">
            <w:pPr>
              <w:rPr>
                <w:color w:val="FF0000"/>
              </w:rPr>
            </w:pPr>
            <w:proofErr w:type="spellStart"/>
            <w:r w:rsidRPr="00A44123">
              <w:rPr>
                <w:color w:val="FF0000"/>
              </w:rPr>
              <w:t>obs_adj_kind</w:t>
            </w:r>
            <w:proofErr w:type="spellEnd"/>
          </w:p>
        </w:tc>
        <w:tc>
          <w:tcPr>
            <w:tcW w:w="916" w:type="dxa"/>
          </w:tcPr>
          <w:p w:rsidR="00DF20F1" w:rsidRPr="00A44123" w:rsidRDefault="00A3706C" w:rsidP="00DC6317">
            <w:pPr>
              <w:rPr>
                <w:color w:val="FF0000"/>
              </w:rPr>
            </w:pPr>
            <w:r w:rsidRPr="00A44123">
              <w:rPr>
                <w:rFonts w:hint="eastAsia"/>
                <w:color w:val="FF0000"/>
              </w:rPr>
              <w:t>0</w:t>
            </w:r>
            <w:r w:rsidRPr="00A44123">
              <w:rPr>
                <w:color w:val="FF0000"/>
              </w:rPr>
              <w:t xml:space="preserve"> or 1</w:t>
            </w:r>
          </w:p>
        </w:tc>
        <w:tc>
          <w:tcPr>
            <w:tcW w:w="4615" w:type="dxa"/>
          </w:tcPr>
          <w:p w:rsidR="00DF20F1" w:rsidRPr="00A44123" w:rsidRDefault="00A3706C" w:rsidP="00DC6317">
            <w:pPr>
              <w:rPr>
                <w:color w:val="FF0000"/>
              </w:rPr>
            </w:pPr>
            <w:r w:rsidRPr="00A44123">
              <w:rPr>
                <w:rFonts w:hint="eastAsia"/>
                <w:color w:val="FF0000"/>
              </w:rPr>
              <w:t>T</w:t>
            </w:r>
            <w:r w:rsidRPr="00A44123">
              <w:rPr>
                <w:color w:val="FF0000"/>
              </w:rPr>
              <w:t xml:space="preserve">he </w:t>
            </w:r>
            <w:proofErr w:type="spellStart"/>
            <w:r w:rsidRPr="00A44123">
              <w:rPr>
                <w:color w:val="FF0000"/>
              </w:rPr>
              <w:t>adjoint</w:t>
            </w:r>
            <w:proofErr w:type="spellEnd"/>
            <w:r w:rsidRPr="00A44123">
              <w:rPr>
                <w:color w:val="FF0000"/>
              </w:rPr>
              <w:t xml:space="preserve"> of the observation operator</w:t>
            </w:r>
          </w:p>
          <w:p w:rsidR="00A3706C" w:rsidRPr="00A44123" w:rsidRDefault="00A3706C" w:rsidP="00DC6317">
            <w:pPr>
              <w:rPr>
                <w:color w:val="FF0000"/>
              </w:rPr>
            </w:pPr>
            <w:r w:rsidRPr="00A44123">
              <w:rPr>
                <w:color w:val="FF0000"/>
              </w:rPr>
              <w:t xml:space="preserve">0 = use ensemble approximated </w:t>
            </w:r>
            <w:proofErr w:type="spellStart"/>
            <w:r w:rsidRPr="00A44123">
              <w:rPr>
                <w:color w:val="FF0000"/>
              </w:rPr>
              <w:t>adjoint</w:t>
            </w:r>
            <w:proofErr w:type="spellEnd"/>
          </w:p>
          <w:p w:rsidR="00A3706C" w:rsidRPr="00A44123" w:rsidRDefault="00A3706C" w:rsidP="00DC6317">
            <w:pPr>
              <w:rPr>
                <w:color w:val="FF0000"/>
              </w:rPr>
            </w:pPr>
            <w:r w:rsidRPr="00A44123">
              <w:rPr>
                <w:color w:val="FF0000"/>
              </w:rPr>
              <w:t xml:space="preserve">1 = use the analytical </w:t>
            </w:r>
            <w:proofErr w:type="spellStart"/>
            <w:r w:rsidRPr="00A44123">
              <w:rPr>
                <w:color w:val="FF0000"/>
              </w:rPr>
              <w:t>adjoint</w:t>
            </w:r>
            <w:proofErr w:type="spellEnd"/>
            <w:r w:rsidRPr="00A44123">
              <w:rPr>
                <w:color w:val="FF0000"/>
              </w:rPr>
              <w:t>*</w:t>
            </w:r>
          </w:p>
        </w:tc>
      </w:tr>
    </w:tbl>
    <w:p w:rsidR="00A72FD7" w:rsidRDefault="00A72FD7" w:rsidP="00A72FD7"/>
    <w:p w:rsidR="00A3706C" w:rsidRDefault="00A3706C" w:rsidP="00A3706C">
      <w:pPr>
        <w:jc w:val="both"/>
      </w:pPr>
      <w:r>
        <w:t>*</w:t>
      </w:r>
      <w:r>
        <w:rPr>
          <w:rFonts w:hint="eastAsia"/>
        </w:rPr>
        <w:t>N</w:t>
      </w:r>
      <w:r>
        <w:t xml:space="preserve">ote that the analytical </w:t>
      </w:r>
      <w:proofErr w:type="spellStart"/>
      <w:r>
        <w:t>adjoint</w:t>
      </w:r>
      <w:proofErr w:type="spellEnd"/>
      <w:r>
        <w:t xml:space="preserve"> of the observation operator is not currently available in DART. We currently hard code the analytical solution for the </w:t>
      </w:r>
      <w:proofErr w:type="spellStart"/>
      <w:r>
        <w:t>adjoint</w:t>
      </w:r>
      <w:proofErr w:type="spellEnd"/>
      <w:r>
        <w:t xml:space="preserve"> of the selected observation operators used in the paper.</w:t>
      </w:r>
    </w:p>
    <w:p w:rsidR="00A3706C" w:rsidRDefault="00A3706C" w:rsidP="00A72F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DF20F1" w:rsidTr="00BF5429">
        <w:tc>
          <w:tcPr>
            <w:tcW w:w="2765" w:type="dxa"/>
          </w:tcPr>
          <w:p w:rsidR="00DF20F1" w:rsidRDefault="00DF20F1" w:rsidP="00DC6317">
            <w:proofErr w:type="spellStart"/>
            <w:r>
              <w:t>adaptive_ker_io</w:t>
            </w:r>
            <w:proofErr w:type="spellEnd"/>
          </w:p>
        </w:tc>
        <w:tc>
          <w:tcPr>
            <w:tcW w:w="916" w:type="dxa"/>
          </w:tcPr>
          <w:p w:rsidR="00DF20F1" w:rsidRDefault="00BF5429" w:rsidP="00DC6317">
            <w:r>
              <w:rPr>
                <w:rFonts w:hint="eastAsia"/>
              </w:rPr>
              <w:t>.</w:t>
            </w:r>
            <w:r>
              <w:t>true.</w:t>
            </w:r>
          </w:p>
        </w:tc>
        <w:tc>
          <w:tcPr>
            <w:tcW w:w="4615" w:type="dxa"/>
          </w:tcPr>
          <w:p w:rsidR="00DF20F1" w:rsidRDefault="00BF5429" w:rsidP="00DC6317">
            <w:r>
              <w:rPr>
                <w:rFonts w:hint="eastAsia"/>
              </w:rPr>
              <w:t>I</w:t>
            </w:r>
            <w:r>
              <w:t>f using the adaptive kernel width described in Appendix (A)</w:t>
            </w:r>
          </w:p>
        </w:tc>
      </w:tr>
      <w:tr w:rsidR="00A44123" w:rsidRPr="00A44123" w:rsidTr="00BF5429">
        <w:tc>
          <w:tcPr>
            <w:tcW w:w="2765" w:type="dxa"/>
          </w:tcPr>
          <w:p w:rsidR="00DF20F1" w:rsidRPr="00A44123" w:rsidRDefault="00DF20F1" w:rsidP="00DC6317">
            <w:pPr>
              <w:rPr>
                <w:color w:val="FF0000"/>
              </w:rPr>
            </w:pPr>
            <w:proofErr w:type="spellStart"/>
            <w:r w:rsidRPr="00A44123">
              <w:rPr>
                <w:color w:val="FF0000"/>
              </w:rPr>
              <w:t>min_kernel_value</w:t>
            </w:r>
            <w:proofErr w:type="spellEnd"/>
          </w:p>
        </w:tc>
        <w:tc>
          <w:tcPr>
            <w:tcW w:w="916" w:type="dxa"/>
          </w:tcPr>
          <w:p w:rsidR="00DF20F1" w:rsidRPr="00A44123" w:rsidRDefault="00BF5429" w:rsidP="00DC6317">
            <w:pPr>
              <w:rPr>
                <w:color w:val="FF0000"/>
              </w:rPr>
            </w:pPr>
            <w:r w:rsidRPr="00A44123">
              <w:rPr>
                <w:rFonts w:hint="eastAsia"/>
                <w:color w:val="FF0000"/>
              </w:rPr>
              <w:t>0</w:t>
            </w:r>
            <w:r w:rsidRPr="00A44123">
              <w:rPr>
                <w:color w:val="FF0000"/>
              </w:rPr>
              <w:t>.1</w:t>
            </w:r>
          </w:p>
        </w:tc>
        <w:tc>
          <w:tcPr>
            <w:tcW w:w="4615" w:type="dxa"/>
          </w:tcPr>
          <w:p w:rsidR="00DF20F1" w:rsidRPr="00A44123" w:rsidRDefault="00564A31" w:rsidP="00DC6317">
            <w:pPr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BF5429" w:rsidRPr="00A44123">
              <w:rPr>
                <w:rFonts w:hint="eastAsia"/>
                <w:color w:val="FF0000"/>
              </w:rPr>
              <w:t xml:space="preserve"> </w:t>
            </w:r>
            <w:r w:rsidR="00BF5429" w:rsidRPr="00A44123">
              <w:rPr>
                <w:color w:val="FF0000"/>
              </w:rPr>
              <w:t>in Equation (A3)</w:t>
            </w:r>
          </w:p>
        </w:tc>
      </w:tr>
      <w:tr w:rsidR="00DF20F1" w:rsidTr="00BF5429">
        <w:tc>
          <w:tcPr>
            <w:tcW w:w="2765" w:type="dxa"/>
          </w:tcPr>
          <w:p w:rsidR="00DF20F1" w:rsidRDefault="00DF20F1" w:rsidP="00DC6317">
            <w:proofErr w:type="spellStart"/>
            <w:r>
              <w:t>fixed_ker_alpha</w:t>
            </w:r>
            <w:proofErr w:type="spellEnd"/>
          </w:p>
        </w:tc>
        <w:tc>
          <w:tcPr>
            <w:tcW w:w="916" w:type="dxa"/>
          </w:tcPr>
          <w:p w:rsidR="00DF20F1" w:rsidRDefault="00BF5429" w:rsidP="00DC6317"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4615" w:type="dxa"/>
          </w:tcPr>
          <w:p w:rsidR="00DF20F1" w:rsidRDefault="00BF5429" w:rsidP="001022E3">
            <w:r>
              <w:rPr>
                <w:rFonts w:hint="eastAsia"/>
              </w:rPr>
              <w:t>I</w:t>
            </w:r>
            <w:r>
              <w:t>f “</w:t>
            </w:r>
            <w:proofErr w:type="spellStart"/>
            <w:r>
              <w:t>adaptive_ker_io</w:t>
            </w:r>
            <w:proofErr w:type="spellEnd"/>
            <w:r>
              <w:t xml:space="preserve">” == .false., </w:t>
            </w:r>
            <w:r w:rsidR="001022E3">
              <w:t>“</w:t>
            </w:r>
            <w:proofErr w:type="spellStart"/>
            <w:r w:rsidR="001022E3">
              <w:t>fixed_ker_alpha</w:t>
            </w:r>
            <w:proofErr w:type="spellEnd"/>
            <w:r w:rsidR="001022E3">
              <w:t xml:space="preserve">”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0.5α</m:t>
              </m:r>
            </m:oMath>
            <w:r w:rsidR="001022E3">
              <w:rPr>
                <w:rFonts w:hint="eastAsia"/>
              </w:rPr>
              <w:t xml:space="preserve"> </w:t>
            </w:r>
            <w:r w:rsidR="001022E3">
              <w:t>in Equation (A2)</w:t>
            </w:r>
          </w:p>
        </w:tc>
      </w:tr>
      <w:tr w:rsidR="009D5B50" w:rsidTr="009D5B50">
        <w:tc>
          <w:tcPr>
            <w:tcW w:w="2765" w:type="dxa"/>
          </w:tcPr>
          <w:p w:rsidR="009D5B50" w:rsidRDefault="009D5B50" w:rsidP="00DC6317">
            <w:r>
              <w:t>switch</w:t>
            </w:r>
          </w:p>
        </w:tc>
        <w:tc>
          <w:tcPr>
            <w:tcW w:w="916" w:type="dxa"/>
          </w:tcPr>
          <w:p w:rsidR="009D5B50" w:rsidRDefault="009D5B50" w:rsidP="00DC6317">
            <w:r>
              <w:rPr>
                <w:rFonts w:hint="eastAsia"/>
              </w:rPr>
              <w:t>0</w:t>
            </w:r>
          </w:p>
        </w:tc>
        <w:tc>
          <w:tcPr>
            <w:tcW w:w="4615" w:type="dxa"/>
          </w:tcPr>
          <w:p w:rsidR="009D5B50" w:rsidRDefault="00BF194A" w:rsidP="00BF194A">
            <w:pPr>
              <w:jc w:val="both"/>
            </w:pPr>
            <w:r>
              <w:t>Parameters for future development of the other adaptive kernel width algorithms. S</w:t>
            </w:r>
            <w:r w:rsidR="009D5B50">
              <w:t>till under development</w:t>
            </w:r>
          </w:p>
        </w:tc>
      </w:tr>
    </w:tbl>
    <w:p w:rsidR="00FC2009" w:rsidRPr="001022E3" w:rsidRDefault="00FC2009" w:rsidP="00A72FD7"/>
    <w:p w:rsidR="00504EAD" w:rsidRDefault="00FC2009" w:rsidP="00A72FD7">
      <w:pPr>
        <w:rPr>
          <w:b/>
          <w:i/>
        </w:rPr>
      </w:pPr>
      <w:r w:rsidRPr="00504EAD">
        <w:rPr>
          <w:rFonts w:hint="eastAsia"/>
          <w:b/>
          <w:i/>
        </w:rPr>
        <w:t>P</w:t>
      </w:r>
      <w:r w:rsidRPr="00504EAD">
        <w:rPr>
          <w:b/>
          <w:i/>
        </w:rPr>
        <w:t>arameters for the mini</w:t>
      </w:r>
      <w:r w:rsidR="00504EAD" w:rsidRPr="00504EAD">
        <w:rPr>
          <w:b/>
          <w:i/>
        </w:rPr>
        <w:t>mi</w:t>
      </w:r>
      <w:r w:rsidR="00504EAD">
        <w:rPr>
          <w:b/>
          <w:i/>
        </w:rPr>
        <w:t>zations</w:t>
      </w:r>
    </w:p>
    <w:p w:rsidR="00A97400" w:rsidRDefault="00504EAD" w:rsidP="00010B01">
      <w:pPr>
        <w:jc w:val="both"/>
      </w:pPr>
      <w:r>
        <w:rPr>
          <w:rFonts w:hint="eastAsia"/>
        </w:rPr>
        <w:t>T</w:t>
      </w:r>
      <w:r>
        <w:t>o facilitate efficient minimization, we adopt a new adaptive learning rate algorithm as described in Appendix C.</w:t>
      </w:r>
      <w:r w:rsidR="00DF20F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A97400" w:rsidTr="00A97400">
        <w:tc>
          <w:tcPr>
            <w:tcW w:w="2765" w:type="dxa"/>
          </w:tcPr>
          <w:p w:rsidR="00A97400" w:rsidRDefault="00A97400" w:rsidP="00DC6317"/>
        </w:tc>
        <w:tc>
          <w:tcPr>
            <w:tcW w:w="916" w:type="dxa"/>
          </w:tcPr>
          <w:p w:rsidR="00A97400" w:rsidRDefault="00A97400" w:rsidP="00DC6317">
            <w:r>
              <w:t>value</w:t>
            </w:r>
          </w:p>
        </w:tc>
        <w:tc>
          <w:tcPr>
            <w:tcW w:w="4615" w:type="dxa"/>
          </w:tcPr>
          <w:p w:rsidR="00A97400" w:rsidRDefault="00A97400" w:rsidP="00DC6317">
            <w:r>
              <w:rPr>
                <w:rFonts w:hint="eastAsia"/>
              </w:rPr>
              <w:t>D</w:t>
            </w:r>
            <w:r>
              <w:t>escriptions</w:t>
            </w:r>
          </w:p>
        </w:tc>
      </w:tr>
      <w:tr w:rsidR="00A97400" w:rsidTr="00DC6317">
        <w:tc>
          <w:tcPr>
            <w:tcW w:w="2765" w:type="dxa"/>
          </w:tcPr>
          <w:p w:rsidR="00A97400" w:rsidRDefault="00A97400" w:rsidP="00DC6317">
            <w:proofErr w:type="spellStart"/>
            <w:r>
              <w:t>learning_rate_fac</w:t>
            </w:r>
            <w:proofErr w:type="spellEnd"/>
          </w:p>
        </w:tc>
        <w:tc>
          <w:tcPr>
            <w:tcW w:w="916" w:type="dxa"/>
          </w:tcPr>
          <w:p w:rsidR="00A97400" w:rsidRDefault="00A97400" w:rsidP="00DC6317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4615" w:type="dxa"/>
          </w:tcPr>
          <w:p w:rsidR="00A97400" w:rsidRDefault="00A97400" w:rsidP="00A97400">
            <m:oMath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oMath>
            <w:r>
              <w:rPr>
                <w:rFonts w:hint="eastAsia"/>
              </w:rPr>
              <w:t xml:space="preserve"> </w:t>
            </w:r>
            <w:r>
              <w:t>in Equation (C3)</w:t>
            </w:r>
          </w:p>
        </w:tc>
      </w:tr>
      <w:tr w:rsidR="00A97400" w:rsidTr="00DC6317">
        <w:tc>
          <w:tcPr>
            <w:tcW w:w="2765" w:type="dxa"/>
          </w:tcPr>
          <w:p w:rsidR="00A97400" w:rsidRDefault="00A97400" w:rsidP="00DC6317">
            <w:proofErr w:type="spellStart"/>
            <w:r>
              <w:t>max_learning_rate</w:t>
            </w:r>
            <w:proofErr w:type="spellEnd"/>
          </w:p>
        </w:tc>
        <w:tc>
          <w:tcPr>
            <w:tcW w:w="916" w:type="dxa"/>
          </w:tcPr>
          <w:p w:rsidR="00A97400" w:rsidRDefault="00A97400" w:rsidP="00DC6317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4615" w:type="dxa"/>
          </w:tcPr>
          <w:p w:rsidR="00A97400" w:rsidRDefault="00564A31" w:rsidP="00DC631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A97400">
              <w:rPr>
                <w:rFonts w:hint="eastAsia"/>
              </w:rPr>
              <w:t xml:space="preserve"> </w:t>
            </w:r>
            <w:r w:rsidR="00A97400">
              <w:t>in Equation (C3)</w:t>
            </w:r>
          </w:p>
        </w:tc>
      </w:tr>
    </w:tbl>
    <w:p w:rsidR="00A97400" w:rsidRDefault="00A97400" w:rsidP="0006645F">
      <w:pPr>
        <w:jc w:val="both"/>
      </w:pPr>
    </w:p>
    <w:p w:rsidR="00A97400" w:rsidRDefault="00DF20F1" w:rsidP="0006645F">
      <w:pPr>
        <w:jc w:val="both"/>
      </w:pPr>
      <w:r>
        <w:t xml:space="preserve">Still, in order to prevent a too large learning rate, we </w:t>
      </w:r>
      <w:r w:rsidR="00A97400">
        <w:t>build</w:t>
      </w:r>
      <w:r>
        <w:t xml:space="preserve"> an additional criterion to determine whether we should </w:t>
      </w:r>
      <w:r w:rsidR="00A97400">
        <w:t xml:space="preserve">further </w:t>
      </w:r>
      <w:r>
        <w:t>reduce the learning rate</w:t>
      </w:r>
      <w:r w:rsidR="00A97400">
        <w:t xml:space="preserve"> when necessary</w:t>
      </w:r>
      <w:r>
        <w:t xml:space="preserve">. </w:t>
      </w:r>
      <w:r w:rsidR="00A97400">
        <w:t>Although it has not been tested whether this additional criterion is necessary in the current setup, we still leave it here as it can be useful for future applications.</w:t>
      </w:r>
    </w:p>
    <w:p w:rsidR="00A97400" w:rsidRDefault="00A97400" w:rsidP="0006645F">
      <w:pPr>
        <w:jc w:val="both"/>
      </w:pPr>
    </w:p>
    <w:p w:rsidR="001324AA" w:rsidRDefault="001324AA" w:rsidP="0006645F">
      <w:pPr>
        <w:jc w:val="both"/>
      </w:pPr>
    </w:p>
    <w:p w:rsidR="001324AA" w:rsidRDefault="001324AA" w:rsidP="0006645F">
      <w:pPr>
        <w:jc w:val="both"/>
      </w:pPr>
      <w:r>
        <w:lastRenderedPageBreak/>
        <w:t>Below are the parameters related to the additional learning rate adjustment:</w:t>
      </w:r>
    </w:p>
    <w:p w:rsidR="001324AA" w:rsidRDefault="001324AA" w:rsidP="0006645F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1324AA" w:rsidTr="0025402D">
        <w:tc>
          <w:tcPr>
            <w:tcW w:w="2765" w:type="dxa"/>
          </w:tcPr>
          <w:p w:rsidR="001324AA" w:rsidRDefault="001324AA" w:rsidP="0025402D">
            <w:proofErr w:type="spellStart"/>
            <w:r>
              <w:t>min_eps_adap</w:t>
            </w:r>
            <w:proofErr w:type="spellEnd"/>
          </w:p>
        </w:tc>
        <w:tc>
          <w:tcPr>
            <w:tcW w:w="916" w:type="dxa"/>
          </w:tcPr>
          <w:p w:rsidR="001324AA" w:rsidRDefault="001324AA" w:rsidP="0025402D">
            <w:r>
              <w:t>1e-4</w:t>
            </w:r>
          </w:p>
        </w:tc>
        <w:tc>
          <w:tcPr>
            <w:tcW w:w="4615" w:type="dxa"/>
          </w:tcPr>
          <w:p w:rsidR="001324AA" w:rsidRDefault="001324AA" w:rsidP="0025402D">
            <w:r>
              <w:t>The minimum value for “</w:t>
            </w:r>
            <w:proofErr w:type="spellStart"/>
            <w:r>
              <w:t>eps_adap</w:t>
            </w:r>
            <w:proofErr w:type="spellEnd"/>
            <w:r>
              <w:t>”. When “</w:t>
            </w:r>
            <w:proofErr w:type="spellStart"/>
            <w:r>
              <w:t>eps_adap</w:t>
            </w:r>
            <w:proofErr w:type="spellEnd"/>
            <w:r>
              <w:t>” &lt; “</w:t>
            </w:r>
            <w:proofErr w:type="spellStart"/>
            <w:r>
              <w:t>min_eps_adap</w:t>
            </w:r>
            <w:proofErr w:type="spellEnd"/>
            <w:r>
              <w:t>”, the iteration stops.</w:t>
            </w:r>
          </w:p>
        </w:tc>
      </w:tr>
      <w:tr w:rsidR="001324AA" w:rsidTr="0025402D">
        <w:tc>
          <w:tcPr>
            <w:tcW w:w="2765" w:type="dxa"/>
          </w:tcPr>
          <w:p w:rsidR="001324AA" w:rsidRDefault="001324AA" w:rsidP="0025402D">
            <w:proofErr w:type="spellStart"/>
            <w:r>
              <w:t>eps_adap_decrease</w:t>
            </w:r>
            <w:proofErr w:type="spellEnd"/>
          </w:p>
        </w:tc>
        <w:tc>
          <w:tcPr>
            <w:tcW w:w="916" w:type="dxa"/>
          </w:tcPr>
          <w:p w:rsidR="001324AA" w:rsidRDefault="001324AA" w:rsidP="0025402D">
            <w:r>
              <w:t>0.7</w:t>
            </w:r>
          </w:p>
        </w:tc>
        <w:tc>
          <w:tcPr>
            <w:tcW w:w="4615" w:type="dxa"/>
          </w:tcPr>
          <w:p w:rsidR="001324AA" w:rsidRDefault="001324AA" w:rsidP="0025402D">
            <w:r>
              <w:rPr>
                <w:rFonts w:hint="eastAsia"/>
              </w:rPr>
              <w:t>T</w:t>
            </w:r>
            <w:r>
              <w:t>he reduction factor for “</w:t>
            </w:r>
            <w:proofErr w:type="spellStart"/>
            <w:r>
              <w:t>eps_adap</w:t>
            </w:r>
            <w:proofErr w:type="spellEnd"/>
            <w:r>
              <w:t>”</w:t>
            </w:r>
          </w:p>
        </w:tc>
      </w:tr>
      <w:tr w:rsidR="001324AA" w:rsidTr="0025402D">
        <w:tc>
          <w:tcPr>
            <w:tcW w:w="2765" w:type="dxa"/>
          </w:tcPr>
          <w:p w:rsidR="001324AA" w:rsidRDefault="001324AA" w:rsidP="0025402D">
            <w:proofErr w:type="spellStart"/>
            <w:r>
              <w:t>norm_increase_tolerance</w:t>
            </w:r>
            <w:proofErr w:type="spellEnd"/>
          </w:p>
        </w:tc>
        <w:tc>
          <w:tcPr>
            <w:tcW w:w="916" w:type="dxa"/>
          </w:tcPr>
          <w:p w:rsidR="001324AA" w:rsidRDefault="001324AA" w:rsidP="0025402D"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4615" w:type="dxa"/>
          </w:tcPr>
          <w:p w:rsidR="001324AA" w:rsidRDefault="001324AA" w:rsidP="0025402D">
            <w:r>
              <w:rPr>
                <w:rFonts w:hint="eastAsia"/>
              </w:rPr>
              <w:t>T</w:t>
            </w:r>
            <w:r>
              <w:t>he threshold to determine whether to trigger the additional reduction in learning rate.</w:t>
            </w:r>
          </w:p>
        </w:tc>
      </w:tr>
      <w:tr w:rsidR="001324AA" w:rsidTr="0025402D">
        <w:tc>
          <w:tcPr>
            <w:tcW w:w="2765" w:type="dxa"/>
          </w:tcPr>
          <w:p w:rsidR="001324AA" w:rsidRDefault="001324AA" w:rsidP="0025402D">
            <w:proofErr w:type="spellStart"/>
            <w:r>
              <w:t>early_stop_criterion</w:t>
            </w:r>
            <w:proofErr w:type="spellEnd"/>
          </w:p>
        </w:tc>
        <w:tc>
          <w:tcPr>
            <w:tcW w:w="916" w:type="dxa"/>
          </w:tcPr>
          <w:p w:rsidR="001324AA" w:rsidRDefault="001324AA" w:rsidP="0025402D">
            <w:r>
              <w:t>0.0</w:t>
            </w:r>
          </w:p>
        </w:tc>
        <w:tc>
          <w:tcPr>
            <w:tcW w:w="4615" w:type="dxa"/>
          </w:tcPr>
          <w:p w:rsidR="001324AA" w:rsidRDefault="001324AA" w:rsidP="0025402D">
            <w:r>
              <w:rPr>
                <w:rFonts w:hint="eastAsia"/>
              </w:rPr>
              <w:t>T</w:t>
            </w:r>
            <w:r>
              <w:t>he criterion to early stop the iteration</w:t>
            </w:r>
          </w:p>
        </w:tc>
      </w:tr>
    </w:tbl>
    <w:p w:rsidR="001324AA" w:rsidRDefault="001324AA" w:rsidP="0006645F">
      <w:pPr>
        <w:jc w:val="both"/>
      </w:pPr>
    </w:p>
    <w:p w:rsidR="00504EAD" w:rsidRDefault="00D302A2" w:rsidP="0006645F">
      <w:pPr>
        <w:jc w:val="both"/>
      </w:pPr>
      <w:r>
        <w:t>In the code, the</w:t>
      </w:r>
      <w:r w:rsidR="00664829">
        <w:t>re is a control</w:t>
      </w:r>
      <w:r>
        <w:t xml:space="preserve"> variable</w:t>
      </w:r>
      <w:r w:rsidR="00DF20F1">
        <w:t xml:space="preserve"> “</w:t>
      </w:r>
      <w:proofErr w:type="spellStart"/>
      <w:r w:rsidR="00DF20F1">
        <w:t>eps_adap</w:t>
      </w:r>
      <w:proofErr w:type="spellEnd"/>
      <w:r w:rsidR="00DF20F1">
        <w:t>”</w:t>
      </w:r>
      <w:r w:rsidR="00664829">
        <w:t xml:space="preserve">, </w:t>
      </w:r>
      <w:r w:rsidR="00DF20F1">
        <w:t>used to control th</w:t>
      </w:r>
      <w:r w:rsidR="00664829">
        <w:t>e</w:t>
      </w:r>
      <w:r w:rsidR="00A97400">
        <w:t xml:space="preserve"> additional reduction in learning rate</w:t>
      </w:r>
      <w:r w:rsidR="00DF20F1">
        <w:t xml:space="preserve">. </w:t>
      </w:r>
      <w:r w:rsidR="009F35C0">
        <w:t>The actual learning rate is “</w:t>
      </w:r>
      <w:proofErr w:type="spellStart"/>
      <w:r w:rsidR="009F35C0">
        <w:t>eps_adap</w:t>
      </w:r>
      <w:proofErr w:type="spellEnd"/>
      <w:r w:rsidR="009F35C0">
        <w:t xml:space="preserve"> times </w:t>
      </w:r>
      <m:oMath>
        <m:r>
          <m:rPr>
            <m:sty m:val="p"/>
          </m:rPr>
          <w:rPr>
            <w:rFonts w:ascii="Cambria Math" w:hAnsi="Cambria Math"/>
          </w:rPr>
          <m:t>∆s</m:t>
        </m:r>
      </m:oMath>
      <w:r w:rsidR="009F35C0">
        <w:rPr>
          <w:rFonts w:hint="eastAsia"/>
        </w:rPr>
        <w:t xml:space="preserve"> </w:t>
      </w:r>
      <w:r w:rsidR="009F35C0">
        <w:t>(in Equation (C3))”.</w:t>
      </w:r>
      <w:r w:rsidR="009F35C0">
        <w:rPr>
          <w:rFonts w:hint="eastAsia"/>
        </w:rPr>
        <w:t xml:space="preserve"> </w:t>
      </w:r>
      <w:r w:rsidR="009F35C0">
        <w:t>“</w:t>
      </w:r>
      <w:proofErr w:type="spellStart"/>
      <w:r w:rsidR="00DF20F1">
        <w:t>eps_adap</w:t>
      </w:r>
      <w:proofErr w:type="spellEnd"/>
      <w:r w:rsidR="009F35C0">
        <w:t>”</w:t>
      </w:r>
      <w:r w:rsidR="00DF20F1">
        <w:t xml:space="preserve"> is initialized to be 1 in the beginning</w:t>
      </w:r>
      <w:r w:rsidR="00C85285">
        <w:t xml:space="preserve"> of every PFF iteration</w:t>
      </w:r>
      <w:r w:rsidR="00DF20F1">
        <w:t xml:space="preserve">. </w:t>
      </w:r>
      <w:r w:rsidR="00010B01">
        <w:t xml:space="preserve">If it is detected that the </w:t>
      </w:r>
      <w:r w:rsidR="00010B01" w:rsidRPr="000D1122">
        <w:rPr>
          <w:i/>
          <w:u w:val="single"/>
        </w:rPr>
        <w:t>scalar norm</w:t>
      </w:r>
      <w:r w:rsidR="00664829" w:rsidRPr="000D1122">
        <w:rPr>
          <w:i/>
          <w:u w:val="single"/>
        </w:rPr>
        <w:t>* (defined below)</w:t>
      </w:r>
      <w:r w:rsidR="00010B01" w:rsidRPr="00010B01">
        <w:rPr>
          <w:i/>
        </w:rPr>
        <w:t xml:space="preserve"> </w:t>
      </w:r>
      <w:r w:rsidR="00010B01" w:rsidRPr="00664829">
        <w:t>of the particle flow increases over a certain threshold</w:t>
      </w:r>
      <w:r w:rsidR="00010B01">
        <w:t>, then “</w:t>
      </w:r>
      <w:proofErr w:type="spellStart"/>
      <w:r w:rsidR="00010B01">
        <w:t>eps_adap</w:t>
      </w:r>
      <w:proofErr w:type="spellEnd"/>
      <w:r w:rsidR="00010B01">
        <w:t>” is reduced by a factor of “</w:t>
      </w:r>
      <w:proofErr w:type="spellStart"/>
      <w:r w:rsidR="00010B01">
        <w:t>eps_adap_decrease</w:t>
      </w:r>
      <w:proofErr w:type="spellEnd"/>
      <w:r w:rsidR="00010B01">
        <w:t>”. When “</w:t>
      </w:r>
      <w:proofErr w:type="spellStart"/>
      <w:r w:rsidR="00010B01">
        <w:t>eps_adap</w:t>
      </w:r>
      <w:proofErr w:type="spellEnd"/>
      <w:r w:rsidR="00010B01">
        <w:t>” is smaller than “</w:t>
      </w:r>
      <w:proofErr w:type="spellStart"/>
      <w:r w:rsidR="00010B01">
        <w:t>min_eps_adap</w:t>
      </w:r>
      <w:proofErr w:type="spellEnd"/>
      <w:r w:rsidR="00010B01">
        <w:t xml:space="preserve">”, the iteration stops. </w:t>
      </w:r>
    </w:p>
    <w:p w:rsidR="00010B01" w:rsidRDefault="00010B01" w:rsidP="0006645F">
      <w:pPr>
        <w:jc w:val="both"/>
      </w:pPr>
    </w:p>
    <w:p w:rsidR="00010B01" w:rsidRDefault="00010B01" w:rsidP="0006645F">
      <w:pPr>
        <w:jc w:val="both"/>
      </w:pPr>
      <w:r w:rsidRPr="00C85285">
        <w:rPr>
          <w:rFonts w:hint="eastAsia"/>
          <w:i/>
        </w:rPr>
        <w:t>T</w:t>
      </w:r>
      <w:r w:rsidRPr="00C85285">
        <w:rPr>
          <w:i/>
        </w:rPr>
        <w:t>he scalar norm of the particle flow</w:t>
      </w:r>
      <w:r>
        <w:t xml:space="preserve"> is defined as follows. Recall we calculate the average magnitude of each component </w:t>
      </w:r>
      <w:r w:rsidR="0006645F">
        <w:t xml:space="preserve">(j) </w:t>
      </w:r>
      <w:r>
        <w:t>of the particle flow in Equation (C1) 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645F">
        <w:t xml:space="preserve">. Note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645F">
        <w:rPr>
          <w:rFonts w:hint="eastAsia"/>
        </w:rPr>
        <w:t xml:space="preserve"> </w:t>
      </w:r>
      <w:r w:rsidR="0006645F">
        <w:t xml:space="preserve">will change in each iteration, </w:t>
      </w:r>
      <w:r w:rsidR="00C85285">
        <w:t>so</w:t>
      </w:r>
      <w:r w:rsidR="0006645F">
        <w:t xml:space="preserve"> we denote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645F">
        <w:rPr>
          <w:rFonts w:hint="eastAsia"/>
        </w:rPr>
        <w:t xml:space="preserve"> </w:t>
      </w:r>
      <w:r w:rsidR="0006645F">
        <w:t>at the k-</w:t>
      </w:r>
      <w:proofErr w:type="spellStart"/>
      <w:r w:rsidR="0006645F">
        <w:t>th</w:t>
      </w:r>
      <w:proofErr w:type="spellEnd"/>
      <w:r w:rsidR="0006645F">
        <w:t xml:space="preserve"> iteration as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06645F">
        <w:rPr>
          <w:rFonts w:hint="eastAsia"/>
        </w:rPr>
        <w:t>.</w:t>
      </w:r>
      <w:r w:rsidR="0006645F">
        <w:t xml:space="preserve"> We normalize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06645F">
        <w:rPr>
          <w:rFonts w:hint="eastAsia"/>
        </w:rPr>
        <w:t xml:space="preserve"> </w:t>
      </w:r>
      <w:r w:rsidR="0006645F">
        <w:t xml:space="preserve">at each iteration by its </w:t>
      </w:r>
      <w:r w:rsidR="00C85285">
        <w:t xml:space="preserve">own </w:t>
      </w:r>
      <w:r w:rsidR="0006645F">
        <w:t>val</w:t>
      </w:r>
      <w:r w:rsidR="00C85285">
        <w:t>ue in</w:t>
      </w:r>
      <w:r w:rsidR="0006645F">
        <w:t xml:space="preserve"> the 1</w:t>
      </w:r>
      <w:r w:rsidR="0006645F" w:rsidRPr="0006645F">
        <w:rPr>
          <w:vertAlign w:val="superscript"/>
        </w:rPr>
        <w:t>st</w:t>
      </w:r>
      <w:r w:rsidR="0006645F">
        <w:t xml:space="preserve"> iteration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den>
        </m:f>
      </m:oMath>
      <w:r w:rsidR="0006645F">
        <w:rPr>
          <w:rFonts w:hint="eastAsia"/>
        </w:rPr>
        <w:t>.</w:t>
      </w:r>
      <w:r w:rsidR="0006645F">
        <w:t xml:space="preserve"> </w:t>
      </w:r>
      <w:r w:rsidR="00C85285">
        <w:t xml:space="preserve">We calculate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C85285">
        <w:rPr>
          <w:rFonts w:hint="eastAsia"/>
        </w:rPr>
        <w:t xml:space="preserve"> </w:t>
      </w:r>
      <w:r w:rsidR="00C85285">
        <w:t>for all</w:t>
      </w:r>
      <w:r w:rsidR="0006645F">
        <w:t xml:space="preserve"> (</w:t>
      </w:r>
      <m:oMath>
        <m:r>
          <m:rPr>
            <m:sty m:val="p"/>
          </m:rPr>
          <w:rPr>
            <w:rFonts w:ascii="Cambria Math" w:hAnsi="Cambria Math"/>
          </w:rPr>
          <m:t>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6645F">
        <w:t xml:space="preserve">) the inner domain variables. The scalar norm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A97400">
        <w:rPr>
          <w:rFonts w:hint="eastAsia"/>
        </w:rPr>
        <w:t xml:space="preserve"> </w:t>
      </w:r>
      <w:r w:rsidR="0006645F">
        <w:t xml:space="preserve">is defined as the average value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06645F">
        <w:rPr>
          <w:rFonts w:hint="eastAsia"/>
        </w:rPr>
        <w:t>,</w:t>
      </w:r>
      <w:r w:rsidR="0006645F">
        <w:t xml:space="preserve">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 w:rsidR="0006645F">
        <w:rPr>
          <w:rFonts w:hint="eastAsia"/>
        </w:rPr>
        <w:t>.</w:t>
      </w:r>
      <w:r w:rsidR="0006645F">
        <w:t xml:space="preserve"> </w:t>
      </w:r>
      <w:r w:rsidR="00A97400">
        <w:t xml:space="preserve">Similarly, we normalize </w:t>
      </w:r>
      <w:r w:rsidR="00A97400">
        <w:rPr>
          <w:rFonts w:hint="eastAsia"/>
        </w:rPr>
        <w:t>t</w:t>
      </w:r>
      <w:r w:rsidR="00A97400">
        <w:t xml:space="preserve">he scalar norm by its own value in the first iteration,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×100%</m:t>
        </m:r>
      </m:oMath>
      <w:r w:rsidR="00A97400">
        <w:rPr>
          <w:rFonts w:hint="eastAsia"/>
        </w:rPr>
        <w:t>.</w:t>
      </w:r>
      <w:r w:rsidR="00A97400">
        <w:t xml:space="preserve">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&gt;</m:t>
        </m:r>
      </m:oMath>
      <w:r w:rsidR="00A97400">
        <w:t>”norm_increase_tolerance” (%), then the “eps_adap_decrease” will be triggered.</w:t>
      </w:r>
    </w:p>
    <w:p w:rsidR="00CE1D36" w:rsidRDefault="00CE1D36" w:rsidP="0006645F">
      <w:pPr>
        <w:jc w:val="both"/>
      </w:pPr>
    </w:p>
    <w:p w:rsidR="00CE1D36" w:rsidRDefault="00CE1D36" w:rsidP="0006645F">
      <w:pPr>
        <w:jc w:val="both"/>
      </w:pPr>
      <w:r>
        <w:t xml:space="preserve">There is another function to early stop the iteration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&lt;</w:t>
      </w:r>
      <w:r>
        <w:t>”</w:t>
      </w:r>
      <w:proofErr w:type="spellStart"/>
      <w:r>
        <w:t>early_stop_criterion</w:t>
      </w:r>
      <w:proofErr w:type="spellEnd"/>
      <w:r>
        <w:t>” (%).</w:t>
      </w:r>
      <w:r w:rsidR="00845970">
        <w:t xml:space="preserve"> </w:t>
      </w:r>
      <w:proofErr w:type="spellStart"/>
      <w:r w:rsidR="00845970">
        <w:t>Nevertheles</w:t>
      </w:r>
      <w:proofErr w:type="spellEnd"/>
      <w:r w:rsidR="00845970">
        <w:t xml:space="preserve">, this function is </w:t>
      </w:r>
      <w:r w:rsidR="008A528C">
        <w:rPr>
          <w:rFonts w:hint="eastAsia"/>
        </w:rPr>
        <w:t>c</w:t>
      </w:r>
      <w:r w:rsidR="008A528C">
        <w:t>urrently in</w:t>
      </w:r>
      <w:r w:rsidR="00604173">
        <w:t xml:space="preserve">activated in this setup (as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≥0</m:t>
        </m:r>
      </m:oMath>
      <w:r w:rsidR="00604173">
        <w:rPr>
          <w:rFonts w:hint="eastAsia"/>
        </w:rPr>
        <w:t xml:space="preserve"> </w:t>
      </w:r>
      <w:r w:rsidR="00604173">
        <w:t xml:space="preserve">by definition, and </w:t>
      </w:r>
      <w:r w:rsidR="00604173">
        <w:t>”</w:t>
      </w:r>
      <w:proofErr w:type="spellStart"/>
      <w:r w:rsidR="00604173">
        <w:t>early_stop_criterion</w:t>
      </w:r>
      <w:proofErr w:type="spellEnd"/>
      <w:r w:rsidR="00604173">
        <w:t>”</w:t>
      </w:r>
      <w:r w:rsidR="00604173">
        <w:t xml:space="preserve"> is set to 0 </w:t>
      </w:r>
      <w:r w:rsidR="00564A31">
        <w:t>currently</w:t>
      </w:r>
      <w:bookmarkStart w:id="0" w:name="_GoBack"/>
      <w:bookmarkEnd w:id="0"/>
      <w:r w:rsidR="00604173">
        <w:t>)</w:t>
      </w:r>
      <w:r w:rsidR="00845970">
        <w:t>.</w:t>
      </w:r>
    </w:p>
    <w:p w:rsidR="00504EAD" w:rsidRDefault="00504EAD" w:rsidP="00A72FD7"/>
    <w:p w:rsidR="000D1122" w:rsidRPr="00604173" w:rsidRDefault="000D1122" w:rsidP="00A72FD7"/>
    <w:p w:rsidR="000D1122" w:rsidRPr="001324AA" w:rsidRDefault="000D1122" w:rsidP="00A72FD7"/>
    <w:p w:rsidR="00FC2009" w:rsidRDefault="00A44123" w:rsidP="00A72FD7">
      <w:pPr>
        <w:rPr>
          <w:b/>
          <w:i/>
        </w:rPr>
      </w:pPr>
      <w:r w:rsidRPr="00A44123">
        <w:rPr>
          <w:rFonts w:hint="eastAsia"/>
          <w:b/>
          <w:i/>
        </w:rPr>
        <w:t>O</w:t>
      </w:r>
      <w:r w:rsidRPr="00A44123">
        <w:rPr>
          <w:b/>
          <w:i/>
        </w:rPr>
        <w:t>ther parameters</w:t>
      </w:r>
    </w:p>
    <w:p w:rsidR="000D1122" w:rsidRPr="00A44123" w:rsidRDefault="000D1122" w:rsidP="00A72FD7">
      <w:pPr>
        <w:rPr>
          <w:b/>
          <w:i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504EAD" w:rsidTr="00DC6317">
        <w:tc>
          <w:tcPr>
            <w:tcW w:w="2765" w:type="dxa"/>
          </w:tcPr>
          <w:p w:rsidR="00504EAD" w:rsidRDefault="00504EAD" w:rsidP="00DC6317">
            <w:proofErr w:type="spellStart"/>
            <w:r>
              <w:t>eakffg_io</w:t>
            </w:r>
            <w:proofErr w:type="spellEnd"/>
          </w:p>
        </w:tc>
        <w:tc>
          <w:tcPr>
            <w:tcW w:w="916" w:type="dxa"/>
          </w:tcPr>
          <w:p w:rsidR="00504EAD" w:rsidRDefault="00504EAD" w:rsidP="00DC6317">
            <w:r>
              <w:rPr>
                <w:rFonts w:hint="eastAsia"/>
              </w:rPr>
              <w:t>.</w:t>
            </w:r>
            <w:r>
              <w:t>false.</w:t>
            </w:r>
          </w:p>
        </w:tc>
        <w:tc>
          <w:tcPr>
            <w:tcW w:w="4615" w:type="dxa"/>
          </w:tcPr>
          <w:p w:rsidR="00504EAD" w:rsidRDefault="00A44123" w:rsidP="00DC6317">
            <w:proofErr w:type="gramStart"/>
            <w:r>
              <w:t>=.true</w:t>
            </w:r>
            <w:proofErr w:type="gramEnd"/>
            <w:r>
              <w:t>. if using EAKF solution as the first-guess for the 1</w:t>
            </w:r>
            <w:r w:rsidRPr="00A44123">
              <w:rPr>
                <w:vertAlign w:val="superscript"/>
              </w:rPr>
              <w:t>st</w:t>
            </w:r>
            <w:r>
              <w:t xml:space="preserve"> iteration PFF. </w:t>
            </w:r>
          </w:p>
        </w:tc>
      </w:tr>
      <w:tr w:rsidR="00504EAD" w:rsidTr="00504EAD">
        <w:tc>
          <w:tcPr>
            <w:tcW w:w="2765" w:type="dxa"/>
          </w:tcPr>
          <w:p w:rsidR="00504EAD" w:rsidRDefault="00504EAD" w:rsidP="00DC6317">
            <w:proofErr w:type="spellStart"/>
            <w:r>
              <w:t>eakffg_inf</w:t>
            </w:r>
            <w:proofErr w:type="spellEnd"/>
          </w:p>
        </w:tc>
        <w:tc>
          <w:tcPr>
            <w:tcW w:w="916" w:type="dxa"/>
          </w:tcPr>
          <w:p w:rsidR="00504EAD" w:rsidRDefault="00A44123" w:rsidP="00DC6317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4615" w:type="dxa"/>
          </w:tcPr>
          <w:p w:rsidR="00504EAD" w:rsidRDefault="00A44123" w:rsidP="00DC6317">
            <w:r>
              <w:rPr>
                <w:rFonts w:hint="eastAsia"/>
              </w:rPr>
              <w:t>W</w:t>
            </w:r>
            <w:r>
              <w:t xml:space="preserve">hen using EAKF solution as the first-guess, use EAKF with inflated observation error 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t>eakffg_inf</w:t>
            </w:r>
            <w:proofErr w:type="spellEnd"/>
            <w:r>
              <w:t xml:space="preserve">” is </w:t>
            </w:r>
            <w:r>
              <w:rPr>
                <w:rFonts w:hint="eastAsia"/>
              </w:rPr>
              <w:t>t</w:t>
            </w:r>
            <w:r>
              <w:t>he inflation factor</w:t>
            </w:r>
            <w:r>
              <w:rPr>
                <w:rFonts w:hint="eastAsia"/>
              </w:rPr>
              <w:t>).</w:t>
            </w:r>
            <w:r>
              <w:t xml:space="preserve"> Only used on when “</w:t>
            </w:r>
            <w:proofErr w:type="spellStart"/>
            <w:r>
              <w:t>eakffg_io</w:t>
            </w:r>
            <w:proofErr w:type="spellEnd"/>
            <w:r>
              <w:t>” == .true.</w:t>
            </w:r>
          </w:p>
        </w:tc>
      </w:tr>
      <w:tr w:rsidR="00BF5429" w:rsidTr="00DC6317">
        <w:tc>
          <w:tcPr>
            <w:tcW w:w="2765" w:type="dxa"/>
          </w:tcPr>
          <w:p w:rsidR="00BF5429" w:rsidRDefault="00BF5429" w:rsidP="00DC6317">
            <w:proofErr w:type="spellStart"/>
            <w:r>
              <w:t>min_eig_ratio</w:t>
            </w:r>
            <w:proofErr w:type="spellEnd"/>
          </w:p>
        </w:tc>
        <w:tc>
          <w:tcPr>
            <w:tcW w:w="916" w:type="dxa"/>
          </w:tcPr>
          <w:p w:rsidR="00BF5429" w:rsidRDefault="00BF5429" w:rsidP="00DC6317">
            <w:r>
              <w:rPr>
                <w:rFonts w:hint="eastAsia"/>
              </w:rPr>
              <w:t>1</w:t>
            </w:r>
            <w:r>
              <w:t>e-10</w:t>
            </w:r>
          </w:p>
        </w:tc>
        <w:tc>
          <w:tcPr>
            <w:tcW w:w="4615" w:type="dxa"/>
          </w:tcPr>
          <w:p w:rsidR="00BF5429" w:rsidRDefault="00BF5429" w:rsidP="00DC6317">
            <w:r>
              <w:rPr>
                <w:rFonts w:hint="eastAsia"/>
              </w:rPr>
              <w:t>U</w:t>
            </w:r>
            <w:r>
              <w:t>sed for finding the inverse of a matrix using SVD. This is to set a minimum condition number of the matrix.</w:t>
            </w:r>
          </w:p>
        </w:tc>
      </w:tr>
    </w:tbl>
    <w:p w:rsidR="00A72FD7" w:rsidRPr="00BF5429" w:rsidRDefault="00A72FD7" w:rsidP="00A72FD7"/>
    <w:p w:rsidR="00504EAD" w:rsidRDefault="00504EAD" w:rsidP="00A72FD7"/>
    <w:sectPr w:rsidR="00504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D7"/>
    <w:rsid w:val="00010B01"/>
    <w:rsid w:val="0006645F"/>
    <w:rsid w:val="00067F55"/>
    <w:rsid w:val="000D1122"/>
    <w:rsid w:val="001022E3"/>
    <w:rsid w:val="001324AA"/>
    <w:rsid w:val="001D1735"/>
    <w:rsid w:val="001E7B12"/>
    <w:rsid w:val="00312587"/>
    <w:rsid w:val="00314E61"/>
    <w:rsid w:val="003F35AD"/>
    <w:rsid w:val="00412AD1"/>
    <w:rsid w:val="004F2E29"/>
    <w:rsid w:val="00504EAD"/>
    <w:rsid w:val="00513351"/>
    <w:rsid w:val="00564A31"/>
    <w:rsid w:val="00604173"/>
    <w:rsid w:val="00664829"/>
    <w:rsid w:val="007E2EAC"/>
    <w:rsid w:val="00845970"/>
    <w:rsid w:val="008A528C"/>
    <w:rsid w:val="00923D25"/>
    <w:rsid w:val="009D5B50"/>
    <w:rsid w:val="009F35C0"/>
    <w:rsid w:val="00A3706C"/>
    <w:rsid w:val="00A44123"/>
    <w:rsid w:val="00A72FD7"/>
    <w:rsid w:val="00A97400"/>
    <w:rsid w:val="00BF194A"/>
    <w:rsid w:val="00BF5429"/>
    <w:rsid w:val="00C114E8"/>
    <w:rsid w:val="00C85285"/>
    <w:rsid w:val="00CE1D36"/>
    <w:rsid w:val="00D075AD"/>
    <w:rsid w:val="00D302A2"/>
    <w:rsid w:val="00DF20F1"/>
    <w:rsid w:val="00FC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2D66"/>
  <w15:chartTrackingRefBased/>
  <w15:docId w15:val="{3340F81F-C7BF-484C-8B7D-65BB898E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3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2024-03-26T21:04:00Z</dcterms:created>
  <dcterms:modified xsi:type="dcterms:W3CDTF">2024-04-16T18:21:00Z</dcterms:modified>
</cp:coreProperties>
</file>