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a genetic epidemiologist and an expert in cross-ancestry, trans-ancestry, and multi-ancestry Mendelian randomization (MR) studies.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one of two independent reviewers conducting a Methods Audit. This Methods Audit aims to evaluate the methodological quality of 300 published MR studies using a structured Scoring Rubric. The Scoring Rubric consists of two parts: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Part A includes 17 items covering Core MR Methodology.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Part B includes 15 items covering Cross-Ancestry Extensions to MR Methodology.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task: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Assign a score for each rubric item using the following scale: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= Fully addressed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= Not addressed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N/A = Item not applicable to study design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 assessed = If you find text but are uncertain how to assign 1, 0, or N/A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Output two tab-delimited tables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1 - Scoring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 a single tab-delimited line containing exactly 32 fields in this column order: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StudyID, A1, A2a, A2b, A2c, A3a, A3b, A4, A5, A6, A7, A8, A9, A10a, A10b, A11a, A11b, A12, B1a, B1b, B2, B3a, B3b, B4, B5, B6, B7a, B7b, B8a, B8b, B9, B10, B11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Formatting rules: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Each field is separated by one tab character (\t).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There must be exactly 31 tab characters per line.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Valid values for each item: 1, 0, N/A, or "Not assessed".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If an item is Not Applicable, write N/A.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If you cannot determine the score, write "Not assessed".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Do not include column headers unless explicitly requested.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No line breaks, extra tabs, or spaces within any field.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Output must be plain UTF-8 text without BOM.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2 - Evidence Table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 one tab-delimited line per rubric item, containing exactly 5 fields in this column order: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StudyID, ItemCode, Score, QuotedEvidence, EvidenceSection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Field definitions: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StudyID: The citation shorthand (e.g., Smith2022).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ItemCode: The rubric item (e.g., A1, A2a, B5). Always include the full code for sub-items.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Score: 1, 0, N/A, or "Not assessed".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QuotedEvidence: The exact text excerpt from the study supporting the score.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EvidenceSection: The section or subsection where the quote was found (e.g., Methods - Instrument Selection).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Formatting rules: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Each field separated by one tab character (\t).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If no evidence is found, write "Not reported" in QuotedEvidence and "Not reported" in EvidenceSection.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 line breaks or extra tabs within any field.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Create a separate line for each rubric item (i.e., 32 lines per study).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Always output 32 lines per study in Table 2, even if some items are N/A.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Do not include column headers unless explicitly requested.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Output must be plain UTF-8 text without BOM.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Instructions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If StudyID contains punctuation (e.g., O’Connor), retain it as-is.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If the study includes multiple MR methodologies (e.g., one-sample MR and two-sample MR), create separate sets of outputs for each methodology (i.e., separate scoring and evidence tables), and append a suffix to StudyID (e.g., Smith2022_OneSampleMR, Smith2022_TwoSampleMR).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Naming convention for StudyID: Use first author surname and year (e.g., Nguyen2021). If needed, append letters to disambiguate (e.g., Nguyen2021a, Nguyen2021b).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Important: Do not summarize or interpret evidence—only quote exact text.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Missing or Uncertainty Information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 information is not explicitly reported anywhere in the paper, do not infer. Instead: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Assign the score 0 or N/A as appropriate.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Write "Not reported" in QuotedEvidence and EvidenceSection.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you find text but remain uncertain how to assign 1, 0, or N/A after consulting the rubric, do not guess. Instead: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Assign the score "Not assessed".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Quote the relevant text in Table 2 to support later review.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Scoring Rubric Reference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detailed criteria for scoring each item are provided in the file named: "Rubric_20250717.pdf".  This file is uploaded in the Files section of this project. You must refer to this rubric when assigning scores and quoting evidence.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before="360" w:line="276" w:lineRule="auto"/>
        <w:rPr>
          <w:color w:val="000000"/>
          <w:sz w:val="32"/>
          <w:szCs w:val="32"/>
        </w:rPr>
      </w:pPr>
      <w:bookmarkStart w:colFirst="0" w:colLast="0" w:name="_v63e5avohx2b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Part A: Core MR Methodology</w:t>
      </w:r>
    </w:p>
    <w:tbl>
      <w:tblPr>
        <w:tblStyle w:val="Table1"/>
        <w:tblW w:w="13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920"/>
        <w:gridCol w:w="11280"/>
        <w:tblGridChange w:id="0">
          <w:tblGrid>
            <w:gridCol w:w="765"/>
            <w:gridCol w:w="1920"/>
            <w:gridCol w:w="112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Criteria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Exposure and Outcome GWAS described with source, ancestry, and sample size?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 if ALL of the following are clearly reported for BOTH exposure GWAS and outcome GWAS: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Study name or consortium or cohort clearly stated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Exact sample sizes provided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Ancestry composition reported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Missing source, ancestry, and sample size for either exposure GWAS or outcome GWAS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Vague description (ancestry is only stated as “predominantly European” or “most participants European” without numeric percentages or without explicit statement)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genome-wide significance threshold applied and clearly justified?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are clearly reported: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 p-value threshold of p &lt; 5×10⁻⁸ is explicitly stated for selecting instruments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 different p-value threshold is clearly stated AND justified (e.g., “We used p &lt; 1×10⁻⁵ due to limited sample size”)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 different p-value threshold was used but no justification is provided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p-value threshold is reported at all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uses a </w:t>
            </w:r>
            <w:r w:rsidDel="00000000" w:rsidR="00000000" w:rsidRPr="00000000">
              <w:rPr>
                <w:b w:val="1"/>
                <w:rtl w:val="0"/>
              </w:rPr>
              <w:t xml:space="preserve">single SNP instrument</w:t>
            </w:r>
            <w:r w:rsidDel="00000000" w:rsidR="00000000" w:rsidRPr="00000000">
              <w:rPr>
                <w:rtl w:val="0"/>
              </w:rPr>
              <w:t xml:space="preserve">, for which threshold selection does not apply.</w:t>
            </w:r>
          </w:p>
        </w:tc>
      </w:tr>
      <w:tr>
        <w:trPr>
          <w:cantSplit w:val="0"/>
          <w:trHeight w:val="3185.74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linkage disequilibrium (LD) pruning or clumping parameters specified?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ALL of the following are explicitly reported: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LD selection method (e.g., pruning or clumping)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r² threshold (e.g., r² &lt; 0.01)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Distance parameter/window size (e.g., 10,000kb)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LD method is not specified (“independent SNPs” alone with no further detail)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r² threshold is missing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Distance/window parameter is missing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uses a </w:t>
            </w:r>
            <w:r w:rsidDel="00000000" w:rsidR="00000000" w:rsidRPr="00000000">
              <w:rPr>
                <w:b w:val="1"/>
                <w:rtl w:val="0"/>
              </w:rPr>
              <w:t xml:space="preserve">single SNP instrument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LD reference panel named and its population specified?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 if BOTH of the following are reported: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Reference panel is explicitly named (e.g., “1000 Genomes Phase 3”)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population subset or ancestry is specified (e.g., “European”)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Reference panel is not identified at all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Reference panel is only vaguely described (e.g., “a standard reference panel”)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Population subset or ancestry is not specified. 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uses a </w:t>
            </w:r>
            <w:r w:rsidDel="00000000" w:rsidR="00000000" w:rsidRPr="00000000">
              <w:rPr>
                <w:b w:val="1"/>
                <w:rtl w:val="0"/>
              </w:rPr>
              <w:t xml:space="preserve">single SNP instrument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numeric measures of instrument strength reported?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are clearly reported: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F-statistics provided for each instrument OR a mean/overall F-statistic reported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R² (variance explained) reported for the instrument(s)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Both F-statistics and R² reported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Instrument strength is mentioned qualitatively without numeric values (e.g., “strong instruments”)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F-statistic or R² reported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Instrument strength not mentioned at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A3b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instrument strength metrics adequate (i.e. meeting conventional thresholds)?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are true: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Mean or overall F-statistic is ≥ 10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All individual SNP F-statistics are ≥ 10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Mean or overall F-statistic is &lt;10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Any individual SNP F-statistic is &lt; 10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Weak instrument bias is explicitly acknowledged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A3a = 0 (i.e., if no numeric F-statistics or R² are reported)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A4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instrumental variable (IV) assumptions explicitly stated and empirically evaluated?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BOTH are met: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IV assumptions (relevance, independence, exclusion restriction) </w:t>
            </w:r>
            <w:r w:rsidDel="00000000" w:rsidR="00000000" w:rsidRPr="00000000">
              <w:rPr>
                <w:b w:val="1"/>
                <w:rtl w:val="0"/>
              </w:rPr>
              <w:t xml:space="preserve">explicitly named or discussed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 least one empirical assessment of assumptions is performed and reported, such as ANY of: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Confounder association testing (e.g., PhenoScanner lookup, covariate balance checks)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Pleiotropy tests (e.g., MR-Egger intercept, MR-PRESSO global test)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Negative control analyses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Steiger directionality tests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IV assumptions are not mentioned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empirical assessment or sensitivity test of assumptions is performed or reported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A5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effect alleles harmonized between datasets?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 if AT LEAST ONE approach clearly described: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Automated harmonization using named functions/packages (e.g., TwoSampleMR harmonise_data(), MungeSumstats)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Manual harmonization with specific steps described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Strand flip correction explicitly mentioned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Ambiguous SNP removal or frequency-based inference described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harmonization mentioned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vague statement without method description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is 1-sample MR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A6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palindromic SNPs (A/T or C/G) handled and reported appropriately?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are clearly reported: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Palindromic SNPs are excluded from the analysis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Allele frequency threshold for resolving strand ambiguity is </w:t>
            </w:r>
            <w:r w:rsidDel="00000000" w:rsidR="00000000" w:rsidRPr="00000000">
              <w:rPr>
                <w:b w:val="1"/>
                <w:rtl w:val="0"/>
              </w:rPr>
              <w:t xml:space="preserve">explicitly stated</w:t>
            </w:r>
            <w:r w:rsidDel="00000000" w:rsidR="00000000" w:rsidRPr="00000000">
              <w:rPr>
                <w:rtl w:val="0"/>
              </w:rPr>
              <w:t xml:space="preserve"> (e.g., “MAF &lt;0.42”).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Reference-based alignment of palindromic SNPs using a </w:t>
            </w:r>
            <w:r w:rsidDel="00000000" w:rsidR="00000000" w:rsidRPr="00000000">
              <w:rPr>
                <w:b w:val="1"/>
                <w:rtl w:val="0"/>
              </w:rPr>
              <w:t xml:space="preserve">named reference panel</w:t>
            </w:r>
            <w:r w:rsidDel="00000000" w:rsidR="00000000" w:rsidRPr="00000000">
              <w:rPr>
                <w:rtl w:val="0"/>
              </w:rPr>
              <w:t xml:space="preserve"> (e.g., 1000 Genomes) is described.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Palindromic SNPs are not mentioned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Method of handling palindromic SNPs is not specified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is 1-sample MR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A7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sample overlap appropriately addressed?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 2-sample MR - Score 1 if ANY of the following are present: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Sample overlap discussed (e.g., “none” or “minimal” or “public GWAS datasets with no known overlap”)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Sample overlap adjusted using appropriate methods (e.g., CAUSE, MR-RAPS adjustment)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1-sample MR - Score 1 if ANY of the following are present: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Overlap justified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Appropriate method used (e.g., two-stage least squares (2SLS) or equivalent method)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Appropriate software mentioned (e.g., ivreg, ivpack)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Sample overlap not discussed 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Sample overlap not adjusted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confounder limitations acknowledged, or covariates controlled for appropriately?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2-sample MR - Score 1 if ANY of the following: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Explicit acknowledgment that individual-level covariates cannot be adjusted in summary-level MR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Discussion of residual confounding or population stratification as a study limitation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Reporting of methods for controlling population stratification control (e.g., genomic principal components in GWAS)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1-sample MR - Score 1 if ANY of the following: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Covariate adjustment methods are clearly described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List of standard covariates (e.g., age, sex, principal components) included in models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Method for covariate selection is described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 2-sample MR: No acknowledgement of confounder limitations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 1-sample MR: No description of covariate adjustment and no justification</w:t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A9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outlier instruments systematically identified and sensitivity analysis performed?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 if ALL of the following criteria are met: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Systematic outlier detection method applied, such as: MR-PRESSO, leave-one-out analysis, radial MR, Cook's distance, MVMR-cML, contamination mixture model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method is clearly named and adequately described (e.g., parameters, thresholds)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are presented both before and after removing outliers, showing effect estimates with and without exclusions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Impact of outlier removal is discussed, including whether estimates changed materially or conclusions were affected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systematic outlier detection method was applied.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method is applied but not named or described.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after outlier removal are not presented.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impact of removing outliers is not discussed.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analysis used a </w:t>
            </w:r>
            <w:r w:rsidDel="00000000" w:rsidR="00000000" w:rsidRPr="00000000">
              <w:rPr>
                <w:b w:val="1"/>
                <w:rtl w:val="0"/>
              </w:rPr>
              <w:t xml:space="preserve">single SNP instrument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A10a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sensitivity analyses performed to test for pleiotropy or heterogeneity?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methods were applied: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MR-Egger regression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Weighted median or weighted mode estimator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MR-PRESSO (global test or outlier test)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Heterogeneity tests (Cochran's Q, I² statistic)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Radial MR with modified Q-statistic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Contamination mixture methods (e.g., MR-Mix, CAUSE)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sensitivity analysis was performed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Sensitivity analyses were only described in theory but not performed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A10b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sensitivity analysis results reported and interpreted?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ALL of the following are met: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from sensitivity analysis are clearly reported (e.g. effect estimates, confidence intervals, p-values)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are interpreted in text, discussing consistency or divergence with main estimates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Sensitivity analysis were mentioned but results are not reported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shown but not interpreted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mention of sensitivity analysis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A11a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alternative MR estimators used beyond inverse-variance weighted (IVW)?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if: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 least one alternative estimator used (e.g., Weighted median, Weighted mode, MR-Egger, MR-RAPS, GSMR) AND results reported 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IVW OR no results for alternative estimators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A11b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results consistent across multiple MR estimators?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are present: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consistent and compared across MR estimators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Discordant results discussed with potential explanations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are inconsistent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Results not discussed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one estimator used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statistical power assessed or sample size justified?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are reported: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Formal power calculation is presented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Minimum detectable effect size calculated (e.g., “80% power to detect OR &gt; 1.15”)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Discussion of sample size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adequacy or limitations stated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Reference to power calculation tools/software (e.g., mRnd, MR Power)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 following: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power calculation or justification provided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discussion of Sample size or power limitations</w:t>
            </w:r>
          </w:p>
        </w:tc>
      </w:tr>
    </w:tbl>
    <w:p w:rsidR="00000000" w:rsidDel="00000000" w:rsidP="00000000" w:rsidRDefault="00000000" w:rsidRPr="00000000" w14:paraId="00000115">
      <w:pPr>
        <w:pStyle w:val="Heading2"/>
        <w:keepNext w:val="0"/>
        <w:keepLines w:val="0"/>
        <w:spacing w:before="360" w:line="276" w:lineRule="auto"/>
        <w:rPr>
          <w:color w:val="000000"/>
          <w:sz w:val="32"/>
          <w:szCs w:val="32"/>
        </w:rPr>
      </w:pPr>
      <w:bookmarkStart w:colFirst="0" w:colLast="0" w:name="_uz363mkz6dx0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Part B: Cross-Ancestry Extensions to MR Methodology</w:t>
      </w:r>
    </w:p>
    <w:tbl>
      <w:tblPr>
        <w:tblStyle w:val="Table2"/>
        <w:tblW w:w="14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250"/>
        <w:gridCol w:w="11040"/>
        <w:tblGridChange w:id="0">
          <w:tblGrid>
            <w:gridCol w:w="720"/>
            <w:gridCol w:w="2250"/>
            <w:gridCol w:w="1104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Evaluation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Are the ancestries  of participants clearly reported for both the exposure and outcome GWAS datasets?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 if: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b w:val="1"/>
                <w:rtl w:val="0"/>
              </w:rPr>
              <w:t xml:space="preserve">BOTH </w:t>
            </w:r>
            <w:r w:rsidDel="00000000" w:rsidR="00000000" w:rsidRPr="00000000">
              <w:rPr>
                <w:rtl w:val="0"/>
              </w:rPr>
              <w:t xml:space="preserve">exposure and outcome GWAS, ancestry is explicitly stated using standard terminology (e.g., European, East Asian, African, South Asian, Hispanic/Latino, Native American, Oceanian), clearly named specific populations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 if ANY of these apply: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Ancestry not reported for either dataset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vague descriptors used (e.g., “diverse,” “multi-ethnic,” “international sample,” without details)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general geographic terms (e.g., “European countries,” “Asian region”) without explicit population labels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For multi-ancestry GWAS, is a numeric breakdown of sample composition provided?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if: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reports the </w:t>
            </w:r>
            <w:r w:rsidDel="00000000" w:rsidR="00000000" w:rsidRPr="00000000">
              <w:rPr>
                <w:b w:val="1"/>
                <w:rtl w:val="0"/>
              </w:rPr>
              <w:t xml:space="preserve">numerical composition</w:t>
            </w:r>
            <w:r w:rsidDel="00000000" w:rsidR="00000000" w:rsidRPr="00000000">
              <w:rPr>
                <w:rtl w:val="0"/>
              </w:rPr>
              <w:t xml:space="preserve"> (either counts or percentages) for each ancestry group </w:t>
            </w:r>
            <w:r w:rsidDel="00000000" w:rsidR="00000000" w:rsidRPr="00000000">
              <w:rPr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total sample size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 of these apply: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Multi-ancestry GWAS is described but without any numerical composition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vague descriptors (“diverse”) without counts or percentages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Both exposure and outcome GWAS are single-ancestry</w:t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B2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ancestry matching assessed or justified between the exposure and outcome GWAS datasets?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following: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Exposure and outcome GWAS are ancestry-matched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Ancestry mismatch is explicitly tested (e.g., heterogeneity or trans-ancestry comparisons)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Cross-ancestry replication or ancestry-stratified sensitivity analyses performed and reported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ANY: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Mismatch is acknowledged but no formal testing or justification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mention of ancestry matching considerations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B3a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an ancestry-appropriate LD reference panel used?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 of the following are met: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 single-ancestry GWAS: The LD reference panel is explicitly named (e.g., “1000 Genomes Phase 3 EUR”)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panel is ancestry-matched to the GWAS population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 Multi-ancestry GWAS: The LD reference panel is explicitly named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The authors report the numeric ancestry composition of the GWAS sample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They provide a justification explaining that the reference panel covers the major ancestries present in the sample, where “major” ancestry is operationally defined as any ancestry (or combined ancestries) comprising ≥75% of the total GWAS sample, in accordance with GWAS Catalog Ancestry Reporting Standards (Morales et al., 2018). This threshold reflects current best practices for classification of predominant ancestry in large-scale genomic studies.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 if ANY: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LD reference panel is not named.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panel is not ancestry-matched or appropriate for the GWAS population, with no explanation.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Multi-ancestry GWAS with no numeric breakdown of sample composition provided.</w:t>
              <w:br w:type="textWrapping"/>
              <w:t xml:space="preserve">Justification provided, but the referenced ancestries together account for </w:t>
            </w:r>
            <w:r w:rsidDel="00000000" w:rsidR="00000000" w:rsidRPr="00000000">
              <w:rPr>
                <w:b w:val="1"/>
                <w:rtl w:val="0"/>
              </w:rPr>
              <w:t xml:space="preserve">&lt;75%</w:t>
            </w:r>
            <w:r w:rsidDel="00000000" w:rsidR="00000000" w:rsidRPr="00000000">
              <w:rPr>
                <w:rtl w:val="0"/>
              </w:rPr>
              <w:t xml:space="preserve"> of the sample.</w:t>
            </w:r>
          </w:p>
        </w:tc>
      </w:tr>
      <w:tr>
        <w:trPr>
          <w:cantSplit w:val="0"/>
          <w:trHeight w:val="1824.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B3b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LD pruning or clumping parameters explicitly reported?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1 if ALL: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LD method clearly stated (pruning OR clumping)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r² threshold stated (e.g., r² &lt; 0.01)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Distance/window parameter stated (e.g., 10,000kb)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 0 if ANY missing: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Method not specified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r² threshold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distance parameter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B4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instrument strength assessed separately by ancestry?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ANY: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F-statistics OR R² reported separately for each ancestry in exposure GWAS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Weak instrument bias discussed in the context of ancestry-specific effects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if: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pooled instrument strength reported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ancestry-specific strength metrics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B5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minor allele frequencies (MAF) thresholds applied and reported separately by ancestry?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ALL: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MAF thresholds stated per ancestry (e.g., "MAF &gt; 0.01”) 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Number of SNPs excluded by ancestry reported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Considerations of allele frequency differences discussed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ANY: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MAF thresholds stated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pooled MAF filtering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mention of allele frequency validation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B6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cross-ancestry instrument validity justified?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ANY: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Replication in target ancestry.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LD or frequency comparison across ancestries with data presented.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Biological rationale provided (e.g., conserved pathways).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Citations to prior evidence of transferability.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if: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justification or only general statements about “similarity”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 N/A if: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is 1-sample MR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B7a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exposure and outcome phenotype definitions consistent across ancestries?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if: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 binary traits: Identical diagnostic criteria (e.g., ICD codes, clinical thresholds)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 continuous traits: Consistent measurement across ancestries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ANY: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Inconsistent definitions without harmonization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reporting of definitions by ancestry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B7b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measurement units consistent across ancestries or appropriately standardized?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ANY: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Units are consistent across all ancestries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If inconsistent, conversions/transformations or standardizations are described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ANY: 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Units differ without clear conversion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Units not reported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B8a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MR results reported separately by ancestry or tested for heterogeneity?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ANY: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Stratified MR estimates presented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Formal heterogeneity tests (Cochran's Q, I²) performed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Meta-analyses across ancestries reported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ANY: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pooled results reported without ancestry breakdown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Heterogeneity not assessed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B8b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ancestry-related differences in results interpreted?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if: 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Population differences discussed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Heterogeneity results interpreted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Clinical or biological implications addressed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if: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Differences reported but not discussed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interpretation of heterogeneity</w:t>
            </w:r>
          </w:p>
        </w:tc>
      </w:tr>
      <w:tr>
        <w:trPr>
          <w:cantSplit w:val="0"/>
          <w:trHeight w:val="1777.7636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B9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cross-ancestry colocalization assessed?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ANY: 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Formal colocalization methods applied (COLOC, eCAVIAR, SuSiE, FINEMAP)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High LD (e.g., r² &gt; 0.8)) across ancestries demonstrated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Cross-ancestry variant-level concordance assessed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if: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colocalization performed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general mentions without formal testing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 N/A if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The study is 1-sample MR</w:t>
            </w:r>
          </w:p>
        </w:tc>
      </w:tr>
      <w:tr>
        <w:trPr>
          <w:cantSplit w:val="0"/>
          <w:trHeight w:val="1693.8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B10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pleiotropy assessed separately by ancestry?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ANY: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MR-Egger, MR-PRESSO, or radial MR performed separately by ancestry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Associations with confounders tested by ancestry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Negative control analysis performed by ancestry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ANY: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Only pooled pleiotropy assessment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ancestry-specific evaluation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effect sizes interpreted considering ancestry-specific contexts?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1 if ANY: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Differences in baseline risk across ancestries acknowledged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Clinical relevance by ancestry discussed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Limitations regarding generalizability explicitly addressed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0 if ANY: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No discussion of ancestry-specific relevance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Generalizability assumed without justification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before="120" w:line="360" w:lineRule="auto"/>
        <w:rPr>
          <w:color w:val="38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before="12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20" w:before="120"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360" w:lineRule="auto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360" w:lineRule="auto"/>
    </w:pPr>
    <w:rPr>
      <w:b w:val="1"/>
      <w:color w:val="1c458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