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AI Agent-Based Mobility Management with Reconfigurable Intelligent Surfaces for 6G V2X Networks</w:t>
      </w:r>
    </w:p>
    <w:p>
      <w:pPr>
        <w:spacing w:after="100" w:before="200"/>
        <w:jc w:val="center"/>
      </w:pPr>
      <w:r>
        <w:rPr>
          <w:sz w:val="20"/>
          <w:szCs w:val="20"/>
        </w:rPr>
        <w:t xml:space="preserve">AlHussein A. Al-Sahati</w:t>
      </w:r>
      <w:r>
        <w:rPr>
          <w:sz w:val="20"/>
          <w:szCs w:val="20"/>
        </w:rPr>
        <w:t xml:space="preserve">, Member, IEEE, and </w:t>
      </w:r>
      <w:r>
        <w:rPr>
          <w:sz w:val="20"/>
          <w:szCs w:val="20"/>
        </w:rPr>
        <w:t xml:space="preserve">Houda Chihi</w:t>
      </w:r>
      <w:r>
        <w:rPr>
          <w:sz w:val="20"/>
          <w:szCs w:val="20"/>
        </w:rPr>
        <w:t xml:space="preserve">, Senior Member, IEEE</w:t>
      </w:r>
    </w:p>
    <w:p>
      <w:pPr>
        <w:spacing w:after="50"/>
        <w:jc w:val="center"/>
      </w:pPr>
      <w:r>
        <w:rPr>
          <w:i/>
          <w:iCs/>
          <w:sz w:val="18"/>
          <w:szCs w:val="18"/>
        </w:rPr>
        <w:t xml:space="preserve">Military Academy for Security and Strategic Sciences, Benghazi, Libya</w:t>
      </w:r>
    </w:p>
    <w:p>
      <w:pPr>
        <w:spacing w:after="200"/>
        <w:jc w:val="center"/>
      </w:pPr>
      <w:r>
        <w:rPr>
          <w:i/>
          <w:iCs/>
          <w:sz w:val="18"/>
          <w:szCs w:val="18"/>
        </w:rPr>
        <w:t xml:space="preserve">Higher School of Communication of Tunis (Sup'Com), University of Carthage, Tunisia</w:t>
      </w:r>
    </w:p>
    <w:p>
      <w:pPr>
        <w:pStyle w:val="Heading1"/>
      </w:pPr>
      <w:r>
        <w:rPr>
          <w:b/>
          <w:bCs/>
        </w:rPr>
        <w:t xml:space="preserve">Abstract</w:t>
      </w:r>
    </w:p>
    <w:p>
      <w:pPr>
        <w:spacing w:line="276"/>
        <w:ind w:firstLine="480"/>
      </w:pPr>
      <w:r>
        <w:rPr>
          <w:sz w:val="20"/>
          <w:szCs w:val="20"/>
        </w:rPr>
        <w:t xml:space="preserve">The convergence of sixth-generation (6G) wireless networks, vehicle-to-everything (V2X) communications, and Reconfigurable Intelligent Surfaces (RIS) presents unprecedented opportunities for revolutionizing mobility management in high-speed vehicular scenarios. This paper proposes a novel decentralized AI Agent framework that synergistically integrates Multi-Agent Reinforcement Learning (MARL) with the Agent Loop Pattern from NetOps-Guardian-AI for dynamic optimization of RIS phase shifts and handover protocols in ultra-reliable low-latency communication (URLLC) scenarios. Our framework comprises three specialized agents implementing the iterative decision cycle: a RIS Optimization Agent that dynamically adjusts phase shifts for coverage enhancement, a Handover Management Agent that makes proactive handover decisions based on trajectory prediction, and a Resource Allocation Agent that optimizes spectrum and power allocation.</w:t>
      </w:r>
    </w:p>
    <w:p>
      <w:pPr>
        <w:spacing w:line="276"/>
        <w:ind w:firstLine="480"/>
      </w:pPr>
      <w:r>
        <w:rPr>
          <w:sz w:val="20"/>
          <w:szCs w:val="20"/>
        </w:rPr>
        <w:t xml:space="preserve">We formulate the joint optimization problem as a constrained Markov Decision Process (CMDP) and employ QMIX and Multi-Agent Proximal Policy Optimization (MAPPO) algorithms with centralized training and decentralized execution. Extensive simulations under realistic 6G mmWave channel conditions demonstrate that our proposed framework achieves a 98.5% handover success rate at vehicle speeds up to 500 km/h, while maintaining URLLC latency requirements below 1 ms with 99.999% reliability. The RIS-assisted scheme provides an average SINR improvement of 8.2 dB compared to non-RIS baselines, and the Agent Loop-enhanced multi-agent approach outperforms single-agent and traditional methods by 15.3% and 41.3%, respectively, in terms of overall network throughput. Comprehensive convergence analysis using Lyapunov stability theory validates the theoretical guarantees of the proposed algorithms.</w:t>
      </w:r>
    </w:p>
    <w:p>
      <w:pPr>
        <w:spacing w:after="200" w:before="150"/>
      </w:pPr>
      <w:r>
        <w:rPr>
          <w:b/>
          <w:bCs/>
          <w:i/>
          <w:iCs/>
          <w:sz w:val="20"/>
          <w:szCs w:val="20"/>
        </w:rPr>
        <w:t xml:space="preserve">Index Terms</w:t>
      </w:r>
      <w:r>
        <w:rPr>
          <w:i/>
          <w:iCs/>
          <w:sz w:val="20"/>
          <w:szCs w:val="20"/>
        </w:rPr>
        <w:t xml:space="preserve">—6G Networks, Reconfigurable Intelligent Surfaces (RIS), Vehicle-to-Everything (V2X), Multi-Agent Reinforcement Learning (MARL), Agent Loop Pattern, Mobility Management, URLLC.</w:t>
      </w:r>
    </w:p>
    <w:p>
      <w:pPr>
        <w:pStyle w:val="Heading1"/>
      </w:pPr>
      <w:r>
        <w:rPr>
          <w:b/>
          <w:bCs/>
        </w:rPr>
        <w:t xml:space="preserve">I. INTRODUCTION</w:t>
      </w:r>
    </w:p>
    <w:p>
      <w:pPr>
        <w:spacing w:line="276"/>
        <w:ind w:firstLine="480"/>
      </w:pPr>
      <w:r>
        <w:rPr>
          <w:sz w:val="20"/>
          <w:szCs w:val="20"/>
        </w:rPr>
        <w:t xml:space="preserve">THE EMERGENCE of sixth-generation (6G) wireless networks heralds a transformative era in vehicular communications, characterized by unprecedented requirements for ultra-reliable low-latency communication (URLLC), massive machine-type communications (mMTC), and enhanced mobile broadband (eMBB) services. Vehicle-to-everything (V2X) communications, encompassing vehicle-to-vehicle (V2V), vehicle-to-infrastructure (V2I), vehicle-to-pedestrian (V2P), and vehicle-to-network (V2N) interactions, represent a cornerstone application domain for 6G networks. The convergence of these technologies necessitates sophisticated mobility management solutions capable of maintaining seamless connectivity while vehicles traverse diverse network topologies at extreme speeds reaching up to 500 km/h in high-speed rail and autonomous vehicle scenarios.</w:t>
      </w:r>
    </w:p>
    <w:p>
      <w:pPr>
        <w:spacing w:line="276"/>
        <w:ind w:firstLine="480"/>
      </w:pPr>
      <w:r>
        <w:rPr>
          <w:sz w:val="20"/>
          <w:szCs w:val="20"/>
        </w:rPr>
        <w:t xml:space="preserve">Reconfigurable Intelligent Surfaces (RIS) have emerged as a paradigm-shifting technology for 6G networks, offering the ability to dynamically control the wireless propagation environment through programmable meta-surfaces. Unlike conventional active relays, RIS operates as a passive reflecting array comprising numerous low-cost passive elements, each capable of independently adjusting the phase shift of incident electromagnetic waves. This capability enables intelligent signal reflection, effectively creating virtual line-of-sight paths in scenarios where direct communication links are obstructed, thereby significantly enhancing coverage, capacity, and signal quality in challenging propagation environments typical of vehicular scenarios.</w:t>
      </w:r>
    </w:p>
    <w:p>
      <w:pPr>
        <w:spacing w:line="276"/>
        <w:ind w:firstLine="480"/>
      </w:pPr>
      <w:r>
        <w:rPr>
          <w:sz w:val="20"/>
          <w:szCs w:val="20"/>
        </w:rPr>
        <w:t xml:space="preserve">The integration of artificial intelligence (AI) and machine learning (ML) techniques into wireless network operations has demonstrated remarkable potential for addressing the complexity and dynamism inherent in 6G V2X environments. Multi-Agent Reinforcement Learning (MARL) provides a natural framework for distributed decision-making in scenarios involving multiple interacting entities, such as vehicles, base stations, and RIS panels. However, conventional MARL approaches often lack the structured reasoning and validation mechanisms necessary for safety-critical vehicular applications, where decision failures can have severe consequences for passenger safety and network reliability.</w:t>
      </w:r>
    </w:p>
    <w:p>
      <w:pPr>
        <w:spacing w:line="276"/>
        <w:ind w:firstLine="480"/>
      </w:pPr>
      <w:r>
        <w:rPr>
          <w:sz w:val="20"/>
          <w:szCs w:val="20"/>
        </w:rPr>
        <w:t xml:space="preserve">This paper addresses these challenges by proposing a novel AI Agent-based framework that integrates the Agent Loop Pattern from the NetOps-Guardian-AI architecture with advanced MARL algorithms. The Agent Loop Pattern provides a structured iterative decision cycle comprising analysis, selection, execution, validation, and iteration phases, ensuring that each decision undergoes rigorous verification before implementation. This approach significantly enhances the reliability and trustworthiness of AI-driven mobility management decisions in safety-critical V2X scenarios.</w:t>
      </w:r>
    </w:p>
    <w:p>
      <w:pPr>
        <w:spacing w:line="276"/>
        <w:ind w:firstLine="480"/>
      </w:pPr>
      <w:r>
        <w:rPr>
          <w:sz w:val="20"/>
          <w:szCs w:val="20"/>
        </w:rPr>
        <w:t xml:space="preserve">The main contributions of this paper are summarized as follows:</w:t>
      </w:r>
    </w:p>
    <w:p>
      <w:pPr>
        <w:pStyle w:val="ListParagraph"/>
        <w:numPr>
          <w:ilvl w:val="0"/>
          <w:numId w:val="2"/>
        </w:numPr>
        <w:spacing w:line="276"/>
      </w:pPr>
      <w:r>
        <w:rPr>
          <w:sz w:val="20"/>
          <w:szCs w:val="20"/>
        </w:rPr>
        <w:t xml:space="preserve">We propose a novel decentralized AI Agent framework that integrates the Agent Loop Pattern from NetOps-Guardian-AI with MARL algorithms (QMIX and MAPPO) for RIS-assisted V2X mobility management, providing structured decision-making with built-in validation mechanisms.</w:t>
      </w:r>
    </w:p>
    <w:p>
      <w:pPr>
        <w:pStyle w:val="ListParagraph"/>
        <w:numPr>
          <w:ilvl w:val="0"/>
          <w:numId w:val="2"/>
        </w:numPr>
        <w:spacing w:line="276"/>
      </w:pPr>
      <w:r>
        <w:rPr>
          <w:sz w:val="20"/>
          <w:szCs w:val="20"/>
        </w:rPr>
        <w:t xml:space="preserve">We formulate the joint RIS phase shift optimization and handover management problem as a Constrained Markov Decision Process (CMDP) that explicitly accounts for URLLC reliability and latency requirements specified in 3GPP standards.</w:t>
      </w:r>
    </w:p>
    <w:p>
      <w:pPr>
        <w:pStyle w:val="ListParagraph"/>
        <w:numPr>
          <w:ilvl w:val="0"/>
          <w:numId w:val="2"/>
        </w:numPr>
        <w:spacing w:line="276"/>
      </w:pPr>
      <w:r>
        <w:rPr>
          <w:sz w:val="20"/>
          <w:szCs w:val="20"/>
        </w:rPr>
        <w:t xml:space="preserve">We develop three specialized agents—RIS Optimization Agent, Handover Management Agent, and Resource Allocation Agent—that collaboratively optimize network performance while satisfying diverse QoS constraints.</w:t>
      </w:r>
    </w:p>
    <w:p>
      <w:pPr>
        <w:pStyle w:val="ListParagraph"/>
        <w:numPr>
          <w:ilvl w:val="0"/>
          <w:numId w:val="2"/>
        </w:numPr>
        <w:spacing w:line="276"/>
      </w:pPr>
      <w:r>
        <w:rPr>
          <w:sz w:val="20"/>
          <w:szCs w:val="20"/>
        </w:rPr>
        <w:t xml:space="preserve">We provide comprehensive theoretical analysis including Lyapunov stability theory for convergence guarantees and sample complexity bounds for the proposed MARL algorithms.</w:t>
      </w:r>
    </w:p>
    <w:p>
      <w:pPr>
        <w:pStyle w:val="ListParagraph"/>
        <w:numPr>
          <w:ilvl w:val="0"/>
          <w:numId w:val="2"/>
        </w:numPr>
        <w:spacing w:line="276"/>
      </w:pPr>
      <w:r>
        <w:rPr>
          <w:sz w:val="20"/>
          <w:szCs w:val="20"/>
        </w:rPr>
        <w:t xml:space="preserve">We conduct extensive simulations under realistic 6G mmWave channel conditions (28 GHz, 400 MHz bandwidth) demonstrating 98.5% handover success rate at speeds up to 500 km/h with URLLC-compliant latency below 1 ms.</w:t>
      </w:r>
    </w:p>
    <w:p>
      <w:pPr>
        <w:spacing w:line="276"/>
        <w:ind w:firstLine="480"/>
      </w:pPr>
      <w:r>
        <w:rPr>
          <w:sz w:val="20"/>
          <w:szCs w:val="20"/>
        </w:rPr>
        <w:t xml:space="preserve">The remainder of this paper is organized as follows. Section II reviews related work in RIS-assisted communications, MARL algorithms, and AI agent architectures. Section III presents the system model including network topology, channel model, and problem formulation. Section IV describes the proposed AI Agent framework architecture. Section V details the MARL algorithms with convergence analysis. Section VI presents simulation results and performance evaluation. Finally, Section VII concludes the paper with future research directions.</w:t>
      </w:r>
    </w:p>
    <w:p>
      <w:pPr>
        <w:pStyle w:val="Heading1"/>
      </w:pPr>
      <w:r>
        <w:rPr>
          <w:b/>
          <w:bCs/>
        </w:rPr>
        <w:t xml:space="preserve">II. RELATED WORK</w:t>
      </w:r>
    </w:p>
    <w:p>
      <w:pPr>
        <w:pStyle w:val="Heading2"/>
      </w:pPr>
      <w:r>
        <w:rPr>
          <w:b/>
          <w:bCs/>
        </w:rPr>
        <w:t xml:space="preserve">A. RIS-Assisted Wireless Communications</w:t>
      </w:r>
    </w:p>
    <w:p>
      <w:pPr>
        <w:spacing w:line="276"/>
        <w:ind w:firstLine="480"/>
      </w:pPr>
      <w:r>
        <w:rPr>
          <w:sz w:val="20"/>
          <w:szCs w:val="20"/>
        </w:rPr>
        <w:t xml:space="preserve">RIS technology has attracted significant research attention for its potential to revolutionize wireless communications by enabling intelligent control of the propagation environment. Wu and Zhang [1] pioneered the study of RIS-assisted wireless networks, demonstrating substantial performance improvements through joint active and passive beamforming optimization. Their work established foundational principles for RIS deployment and phase shift optimization that have guided subsequent research in the field. The authors showed that RIS can effectively extend coverage and improve signal quality in scenarios with limited direct communication paths.</w:t>
      </w:r>
    </w:p>
    <w:p>
      <w:pPr>
        <w:spacing w:line="276"/>
        <w:ind w:firstLine="480"/>
      </w:pPr>
      <w:r>
        <w:rPr>
          <w:sz w:val="20"/>
          <w:szCs w:val="20"/>
        </w:rPr>
        <w:t xml:space="preserve">Di Renzo et al. [2] provided a comprehensive survey of smart radio environments empowered by RIS, establishing theoretical foundations for electromagnetic modeling and optimization. Their work highlighted the unique characteristics of RIS as nearly passive devices with minimal power consumption, making them particularly attractive for large-scale deployment in 6G networks. The survey identified key research challenges including channel estimation, phase shift optimization, and integration with existing network architectures.</w:t>
      </w:r>
    </w:p>
    <w:p>
      <w:pPr>
        <w:spacing w:line="276"/>
        <w:ind w:firstLine="480"/>
      </w:pPr>
      <w:r>
        <w:rPr>
          <w:sz w:val="20"/>
          <w:szCs w:val="20"/>
        </w:rPr>
        <w:t xml:space="preserve">Bjornson et al. [3] analyzed the fundamental trade-offs in RIS-assisted communications, demonstrating that the optimal number of RIS elements depends on the path loss exponent and the relative positions of transmitter, receiver, and RIS. Their analysis provided guidelines for RIS deployment in practical scenarios, emphasizing the importance of proper positioning for maximum performance gains. The work also highlighted the practical constraints of phase quantization and their impact on achievable performance.</w:t>
      </w:r>
    </w:p>
    <w:p>
      <w:pPr>
        <w:spacing w:line="276"/>
        <w:ind w:firstLine="480"/>
      </w:pPr>
      <w:r>
        <w:rPr>
          <w:sz w:val="20"/>
          <w:szCs w:val="20"/>
        </w:rPr>
        <w:t xml:space="preserve">Recent research has explored the integration of RIS with vehicular communications. Liu et al. [4] investigated RIS-assisted V2X communications, demonstrating significant improvements in coverage and reliability for high-speed vehicles. Their work addressed the unique challenges of vehicular mobility, including rapid channel variations and the need for fast adaptation of RIS configurations. The authors proposed a predictive framework that anticipates channel changes based on vehicle trajectory information.</w:t>
      </w:r>
    </w:p>
    <w:p>
      <w:pPr>
        <w:pStyle w:val="Heading2"/>
      </w:pPr>
      <w:r>
        <w:rPr>
          <w:b/>
          <w:bCs/>
        </w:rPr>
        <w:t xml:space="preserve">B. Multi-Agent Reinforcement Learning</w:t>
      </w:r>
    </w:p>
    <w:p>
      <w:pPr>
        <w:spacing w:line="276"/>
        <w:ind w:firstLine="480"/>
      </w:pPr>
      <w:r>
        <w:rPr>
          <w:sz w:val="20"/>
          <w:szCs w:val="20"/>
        </w:rPr>
        <w:t xml:space="preserve">Multi-Agent Reinforcement Learning (MARL) has emerged as a powerful paradigm for distributed decision-making in wireless networks. Rashid et al. [5] introduced QMIX, a value-decomposition method that enables centralized training with decentralized execution while guaranteeing monotonic value function factorization. This architecture has proven particularly effective for cooperative multi-agent scenarios where agents must coordinate their actions to achieve common objectives while operating based on local observations.</w:t>
      </w:r>
    </w:p>
    <w:p>
      <w:pPr>
        <w:spacing w:line="276"/>
        <w:ind w:firstLine="480"/>
      </w:pPr>
      <w:r>
        <w:rPr>
          <w:sz w:val="20"/>
          <w:szCs w:val="20"/>
        </w:rPr>
        <w:t xml:space="preserve">Yu et al. [6] demonstrated the surprising effectiveness of Proximal Policy Optimization (PPO) in cooperative multi-agent games, introducing MAPPO as a simple yet powerful approach for multi-agent coordination. Their work challenged the prevailing assumption that complex value function factorization methods are necessary for effective multi-agent learning, showing that properly tuned PPO can achieve state-of-the-art performance with significantly simpler implementation. The authors provided extensive hyperparameter sensitivity analysis and practical guidelines for MAPPO deployment.</w:t>
      </w:r>
    </w:p>
    <w:p>
      <w:pPr>
        <w:spacing w:line="276"/>
        <w:ind w:firstLine="480"/>
      </w:pPr>
      <w:r>
        <w:rPr>
          <w:sz w:val="20"/>
          <w:szCs w:val="20"/>
        </w:rPr>
        <w:t xml:space="preserve">Sunehag et al. [7] proposed Value-Decomposition Networks (VDN) as an earlier approach to value factorization in MARL. While VDN represents the joint Q-function as a sum of individual Q-functions, QMIX extends this approach by allowing more general monotonic factorizations. Both methods enable decentralized execution while maintaining coordination during training, a crucial requirement for wireless network applications where agents must respond to local observations in real-time.</w:t>
      </w:r>
    </w:p>
    <w:p>
      <w:pPr>
        <w:spacing w:line="276"/>
        <w:ind w:firstLine="480"/>
      </w:pPr>
      <w:r>
        <w:rPr>
          <w:sz w:val="20"/>
          <w:szCs w:val="20"/>
        </w:rPr>
        <w:t xml:space="preserve">Foerster et al. [8] introduced counterfactual multi-agent policy gradients (COMA), addressing the credit assignment problem in multi-agent reinforcement learning. COMA uses a counterfactual baseline to estimate each agent's contribution to the joint reward, enabling more effective learning in cooperative settings. This approach has been applied to wireless resource allocation problems, where multiple agents must coordinate spectrum and power allocation decisions.</w:t>
      </w:r>
    </w:p>
    <w:p>
      <w:pPr>
        <w:pStyle w:val="Heading2"/>
      </w:pPr>
      <w:r>
        <w:rPr>
          <w:b/>
          <w:bCs/>
        </w:rPr>
        <w:t xml:space="preserve">C. AI Agent Architectures for Network Operations</w:t>
      </w:r>
    </w:p>
    <w:p>
      <w:pPr>
        <w:spacing w:line="276"/>
        <w:ind w:firstLine="480"/>
      </w:pPr>
      <w:r>
        <w:rPr>
          <w:sz w:val="20"/>
          <w:szCs w:val="20"/>
        </w:rPr>
        <w:t xml:space="preserve">The Agent Loop Pattern, as implemented in the NetOps-Guardian-AI framework [9], provides a structured approach for autonomous network operations. The pattern defines an iterative decision cycle comprising analysis, selection, execution, validation, and iteration phases, ensuring that AI-driven decisions undergo rigorous verification before implementation. This architecture has demonstrated effectiveness in network operations contexts, providing a foundation for its application to V2X mobility management scenarios.</w:t>
      </w:r>
    </w:p>
    <w:p>
      <w:pPr>
        <w:spacing w:line="276"/>
        <w:ind w:firstLine="480"/>
      </w:pPr>
      <w:r>
        <w:rPr>
          <w:sz w:val="20"/>
          <w:szCs w:val="20"/>
        </w:rPr>
        <w:t xml:space="preserve">Liang et al. [10] surveyed reinforcement learning with function approximation, establishing theoretical foundations for deep reinforcement learning methods. Their analysis of convergence properties and sample complexity provides essential guidance for the design and implementation of MARL algorithms in practical applications. The work emphasizes the importance of proper exploration strategies and function approximation architectures for stable learning.</w:t>
      </w:r>
    </w:p>
    <w:p>
      <w:pPr>
        <w:pStyle w:val="Heading1"/>
      </w:pPr>
      <w:r>
        <w:rPr>
          <w:b/>
          <w:bCs/>
        </w:rPr>
        <w:t xml:space="preserve">III. SYSTEM MODEL</w:t>
      </w:r>
    </w:p>
    <w:p>
      <w:pPr>
        <w:pStyle w:val="Heading2"/>
      </w:pPr>
      <w:r>
        <w:rPr>
          <w:b/>
          <w:bCs/>
        </w:rPr>
        <w:t xml:space="preserve">A. Network Topology</w:t>
      </w:r>
    </w:p>
    <w:p>
      <w:pPr>
        <w:spacing w:line="276"/>
        <w:ind w:firstLine="480"/>
      </w:pPr>
      <w:r>
        <w:rPr>
          <w:sz w:val="20"/>
          <w:szCs w:val="20"/>
        </w:rPr>
        <w:t xml:space="preserve">We consider a highway scenario with multiple next-generation NodeBs (gNBs) and RIS panels deployed along the roadside to provide continuous coverage for high-speed vehicular users. The network comprises |B| gNBs and |R| RIS panels, where each RIS is equipped with N reflecting elements arranged in a two-dimensional array. Vehicles are modeled as moving nodes with time-varying positions and velocities, following realistic mobility patterns characteristic of highway traffic.</w:t>
      </w:r>
    </w:p>
    <w:p>
      <w:pPr>
        <w:spacing w:line="276"/>
        <w:ind w:firstLine="480"/>
      </w:pPr>
      <w:r>
        <w:rPr>
          <w:sz w:val="20"/>
          <w:szCs w:val="20"/>
        </w:rPr>
        <w:t xml:space="preserve">Let V(t) denote the set of active vehicles at time t, with each vehicle v ∈ V(t) characterized by its position p_v(t) = [x_v(t), y_v(t), z_v(t)], velocity v_v(t) = [v_x(t), v_y(t), v_z(t)], and associated channel state information. The serving gNB for vehicle v at time t is denoted as b_v(t) ∈ B, where B is the set of all gNBs. The system operates in the mmWave frequency band at f_c = 28 GHz with a total bandwidth of W = 400 MHz, aligned with 6G specifications for vehicular communications.</w:t>
      </w:r>
    </w:p>
    <w:p>
      <w:pPr>
        <w:spacing w:after="100" w:before="200"/>
        <w:jc w:val="center"/>
      </w:pPr>
      <w:r>
        <w:drawing>
          <wp:inline distT="0" distB="0" distL="0" distR="0">
            <wp:extent cx="5238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190750"/>
                    </a:xfrm>
                    <a:prstGeom prst="rect">
                      <a:avLst/>
                    </a:prstGeom>
                  </pic:spPr>
                </pic:pic>
              </a:graphicData>
            </a:graphic>
          </wp:inline>
        </w:drawing>
      </w:r>
    </w:p>
    <w:p>
      <w:pPr>
        <w:spacing w:after="200"/>
        <w:jc w:val="center"/>
      </w:pPr>
      <w:r>
        <w:rPr>
          <w:i/>
          <w:iCs/>
          <w:sz w:val="18"/>
          <w:szCs w:val="18"/>
        </w:rPr>
        <w:t xml:space="preserve">Fig. 1. Network topology: Highway scenario with 5 gNBs, 3 RIS panels, and vehicular users.</w:t>
      </w:r>
    </w:p>
    <w:p>
      <w:pPr>
        <w:pStyle w:val="Heading2"/>
      </w:pPr>
      <w:r>
        <w:rPr>
          <w:b/>
          <w:bCs/>
        </w:rPr>
        <w:t xml:space="preserve">B. Channel Model</w:t>
      </w:r>
    </w:p>
    <w:p>
      <w:pPr>
        <w:spacing w:line="276"/>
        <w:ind w:firstLine="480"/>
      </w:pPr>
      <w:r>
        <w:rPr>
          <w:sz w:val="20"/>
          <w:szCs w:val="20"/>
        </w:rPr>
        <w:t xml:space="preserve">We adopt the 3GPP TR 38.901 channel model for Urban Macro (UMa) scenarios, which accurately captures the propagation characteristics of mmWave frequencies in vehicular environments. The received signal at vehicle v from gNB b can be expressed as:</w:t>
      </w:r>
    </w:p>
    <w:p>
      <w:pPr>
        <w:spacing w:after="150" w:before="150"/>
        <w:jc w:val="center"/>
      </w:pPr>
      <w:r>
        <w:rPr>
          <w:i/>
          <w:iCs/>
          <w:sz w:val="20"/>
          <w:szCs w:val="20"/>
        </w:rPr>
        <w:t xml:space="preserve">y_v(t) = h_v,b(t)·s_b(t) + Σ_{r∈R} h_v,r(t)·Θ_r(t)·g_r,b(t)·s_b(t) + n_v(t)          (1)</w:t>
      </w:r>
    </w:p>
    <w:p>
      <w:pPr>
        <w:spacing w:line="276"/>
        <w:ind w:firstLine="480"/>
      </w:pPr>
      <w:r>
        <w:rPr>
          <w:sz w:val="20"/>
          <w:szCs w:val="20"/>
        </w:rPr>
        <w:t xml:space="preserve">where h_v,b(t) represents the direct channel between gNB b and vehicle v, h_v,r(t) denotes the channel from RIS r to vehicle v, g_r,b(t) is the channel from gNB b to RIS r, Θ_r(t) = diag(exp(jθ_{r,1}), ..., exp(jθ_{r,N})) is the diagonal phase shift matrix of RIS r, s_b(t) is the transmitted signal, and n_v(t) is additive white Gaussian noise with power spectral density N_0.</w:t>
      </w:r>
    </w:p>
    <w:p>
      <w:pPr>
        <w:spacing w:line="276"/>
        <w:ind w:firstLine="480"/>
      </w:pPr>
      <w:r>
        <w:rPr>
          <w:sz w:val="20"/>
          <w:szCs w:val="20"/>
        </w:rPr>
        <w:t xml:space="preserve">The path loss for LOS and NLOS conditions follows the 3GPP specifications. For LOS conditions, the path loss in dB is given by:</w:t>
      </w:r>
    </w:p>
    <w:p>
      <w:pPr>
        <w:spacing w:after="150" w:before="150"/>
        <w:jc w:val="center"/>
      </w:pPr>
      <w:r>
        <w:rPr>
          <w:i/>
          <w:iCs/>
          <w:sz w:val="20"/>
          <w:szCs w:val="20"/>
        </w:rPr>
        <w:t xml:space="preserve">PL_LOS = 28 + 22·log₁₀(d_3D) + 20·log₁₀(f_c)          (2)</w:t>
      </w:r>
    </w:p>
    <w:p>
      <w:pPr>
        <w:spacing w:line="276"/>
        <w:ind w:firstLine="480"/>
      </w:pPr>
      <w:r>
        <w:rPr>
          <w:sz w:val="20"/>
          <w:szCs w:val="20"/>
        </w:rPr>
        <w:t xml:space="preserve">where d_3D is the 3D distance between transmitter and receiver in meters, and f_c is the carrier frequency in GHz. For NLOS conditions, the path loss is:</w:t>
      </w:r>
    </w:p>
    <w:p>
      <w:pPr>
        <w:spacing w:after="150" w:before="150"/>
        <w:jc w:val="center"/>
      </w:pPr>
      <w:r>
        <w:rPr>
          <w:i/>
          <w:iCs/>
          <w:sz w:val="20"/>
          <w:szCs w:val="20"/>
        </w:rPr>
        <w:t xml:space="preserve">PL_NLOS = 13.54 + 39.08·log₁₀(d_3D) + 20·log₁₀(f_c) - 0.6·(h_UE - 1.5)          (3)</w:t>
      </w:r>
    </w:p>
    <w:p>
      <w:pPr>
        <w:spacing w:line="276"/>
        <w:ind w:firstLine="480"/>
      </w:pPr>
      <w:r>
        <w:rPr>
          <w:sz w:val="20"/>
          <w:szCs w:val="20"/>
        </w:rPr>
        <w:t xml:space="preserve">where h_UE is the user equipment height in meters. The LOS probability is modeled as:</w:t>
      </w:r>
    </w:p>
    <w:p>
      <w:pPr>
        <w:spacing w:after="150" w:before="150"/>
        <w:jc w:val="center"/>
      </w:pPr>
      <w:r>
        <w:rPr>
          <w:i/>
          <w:iCs/>
          <w:sz w:val="20"/>
          <w:szCs w:val="20"/>
        </w:rPr>
        <w:t xml:space="preserve">P(LOS) = min(18/d_2D, 1)·(1 - exp(-d_2D/63)) + exp(-d_2D/63)          (4)</w:t>
      </w:r>
    </w:p>
    <w:p>
      <w:pPr>
        <w:pStyle w:val="Heading2"/>
      </w:pPr>
      <w:r>
        <w:rPr>
          <w:b/>
          <w:bCs/>
        </w:rPr>
        <w:t xml:space="preserve">C. RIS Signal Model</w:t>
      </w:r>
    </w:p>
    <w:p>
      <w:pPr>
        <w:spacing w:line="276"/>
        <w:ind w:firstLine="480"/>
      </w:pPr>
      <w:r>
        <w:rPr>
          <w:sz w:val="20"/>
          <w:szCs w:val="20"/>
        </w:rPr>
        <w:t xml:space="preserve">Each RIS panel comprises N passive reflecting elements capable of independently adjusting their phase shifts. The RIS-assisted channel gain can be expressed as:</w:t>
      </w:r>
    </w:p>
    <w:p>
      <w:pPr>
        <w:spacing w:after="150" w:before="150"/>
        <w:jc w:val="center"/>
      </w:pPr>
      <w:r>
        <w:rPr>
          <w:i/>
          <w:iCs/>
          <w:sz w:val="20"/>
          <w:szCs w:val="20"/>
        </w:rPr>
        <w:t xml:space="preserve">h_RIS = Σ_{n=1}^{N} h_{v,r,n}·g_{r,b,n}·exp(j·θ_{r,n})          (5)</w:t>
      </w:r>
    </w:p>
    <w:p>
      <w:pPr>
        <w:spacing w:line="276"/>
        <w:ind w:firstLine="480"/>
      </w:pPr>
      <w:r>
        <w:rPr>
          <w:sz w:val="20"/>
          <w:szCs w:val="20"/>
        </w:rPr>
        <w:t xml:space="preserve">where h_{v,r,n} and g_{r,b,n} represent the channel coefficients for the n-th element, and θ_{r,n} is the controllable phase shift. The optimal phase shift that maximizes the combined signal strength is given by:</w:t>
      </w:r>
    </w:p>
    <w:p>
      <w:pPr>
        <w:spacing w:after="150" w:before="150"/>
        <w:jc w:val="center"/>
      </w:pPr>
      <w:r>
        <w:rPr>
          <w:i/>
          <w:iCs/>
          <w:sz w:val="20"/>
          <w:szCs w:val="20"/>
        </w:rPr>
        <w:t xml:space="preserve">θ*_{r,n} = arg(h_{v,r,n}) + arg(g_{r,b,n})          (6)</w:t>
      </w:r>
    </w:p>
    <w:p>
      <w:pPr>
        <w:spacing w:line="276"/>
        <w:ind w:firstLine="480"/>
      </w:pPr>
      <w:r>
        <w:rPr>
          <w:sz w:val="20"/>
          <w:szCs w:val="20"/>
        </w:rPr>
        <w:t xml:space="preserve">The received signal power through the RIS is proportional to:</w:t>
      </w:r>
    </w:p>
    <w:p>
      <w:pPr>
        <w:spacing w:after="150" w:before="150"/>
        <w:jc w:val="center"/>
      </w:pPr>
      <w:r>
        <w:rPr>
          <w:i/>
          <w:iCs/>
          <w:sz w:val="20"/>
          <w:szCs w:val="20"/>
        </w:rPr>
        <w:t xml:space="preserve">|h_RIS|² = |Σ_{n=1}^{N} |h_{v,r,n}|·|g_{r,b,n}|·exp(j(φ_n - θ_{r,n}))|²          (7)</w:t>
      </w:r>
    </w:p>
    <w:p>
      <w:pPr>
        <w:spacing w:line="276"/>
        <w:ind w:firstLine="480"/>
      </w:pPr>
      <w:r>
        <w:rPr>
          <w:sz w:val="20"/>
          <w:szCs w:val="20"/>
        </w:rPr>
        <w:t xml:space="preserve">In practice, phase shifts are quantized due to hardware constraints. With k-bit quantization, the phase shift can take values from the discrete set:</w:t>
      </w:r>
    </w:p>
    <w:p>
      <w:pPr>
        <w:spacing w:after="150" w:before="150"/>
        <w:jc w:val="center"/>
      </w:pPr>
      <w:r>
        <w:rPr>
          <w:i/>
          <w:iCs/>
          <w:sz w:val="20"/>
          <w:szCs w:val="20"/>
        </w:rPr>
        <w:t xml:space="preserve">θ_{r,n} ∈ {0, 2π/2^k, 4π/2^k, ..., 2π(2^k-1)/2^k}          (8)</w:t>
      </w:r>
    </w:p>
    <w:p>
      <w:pPr>
        <w:spacing w:after="100" w:before="200"/>
        <w:jc w:val="center"/>
      </w:pPr>
      <w:r>
        <w:drawing>
          <wp:inline distT="0" distB="0" distL="0" distR="0">
            <wp:extent cx="4953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95500"/>
                    </a:xfrm>
                    <a:prstGeom prst="rect">
                      <a:avLst/>
                    </a:prstGeom>
                  </pic:spPr>
                </pic:pic>
              </a:graphicData>
            </a:graphic>
          </wp:inline>
        </w:drawing>
      </w:r>
    </w:p>
    <w:p>
      <w:pPr>
        <w:spacing w:after="200"/>
        <w:jc w:val="center"/>
      </w:pPr>
      <w:r>
        <w:rPr>
          <w:i/>
          <w:iCs/>
          <w:sz w:val="18"/>
          <w:szCs w:val="18"/>
        </w:rPr>
        <w:t xml:space="preserve">Fig. 2. Reconfigurable Intelligent Surface (RIS) Architecture: (a) Element array (8×8), (b) 4-bit phase quantization.</w:t>
      </w:r>
    </w:p>
    <w:p>
      <w:pPr>
        <w:pStyle w:val="Heading2"/>
      </w:pPr>
      <w:r>
        <w:rPr>
          <w:b/>
          <w:bCs/>
        </w:rPr>
        <w:t xml:space="preserve">D. SINR and Capacity</w:t>
      </w:r>
    </w:p>
    <w:p>
      <w:pPr>
        <w:spacing w:line="276"/>
        <w:ind w:firstLine="480"/>
      </w:pPr>
      <w:r>
        <w:rPr>
          <w:sz w:val="20"/>
          <w:szCs w:val="20"/>
        </w:rPr>
        <w:t xml:space="preserve">The Signal-to-Interference-plus-Noise Ratio (SINR) at vehicle v when served by gNB b is given by:</w:t>
      </w:r>
    </w:p>
    <w:p>
      <w:pPr>
        <w:spacing w:after="150" w:before="150"/>
        <w:jc w:val="center"/>
      </w:pPr>
      <w:r>
        <w:rPr>
          <w:i/>
          <w:iCs/>
          <w:sz w:val="20"/>
          <w:szCs w:val="20"/>
        </w:rPr>
        <w:t xml:space="preserve">γ_v(t) = P_b·|h_v,b(t) + h_RIS(t)|² / (Σ_{b'≠b} P_{b'}·I_{v,b'}(t) + N_0·W)          (9)</w:t>
      </w:r>
    </w:p>
    <w:p>
      <w:pPr>
        <w:spacing w:line="276"/>
        <w:ind w:firstLine="480"/>
      </w:pPr>
      <w:r>
        <w:rPr>
          <w:sz w:val="20"/>
          <w:szCs w:val="20"/>
        </w:rPr>
        <w:t xml:space="preserve">where P_b is the transmit power of gNB b, I_{v,b'}(t) represents interference from neighboring gNBs, and N_0·W is the noise power. The achievable data rate for vehicle v is given by the Shannon capacity formula:</w:t>
      </w:r>
    </w:p>
    <w:p>
      <w:pPr>
        <w:spacing w:after="150" w:before="150"/>
        <w:jc w:val="center"/>
      </w:pPr>
      <w:r>
        <w:rPr>
          <w:i/>
          <w:iCs/>
          <w:sz w:val="20"/>
          <w:szCs w:val="20"/>
        </w:rPr>
        <w:t xml:space="preserve">R_v(t) = W·log₂(1 + γ_v(t))          (10)</w:t>
      </w:r>
    </w:p>
    <w:p>
      <w:pPr>
        <w:pStyle w:val="Heading2"/>
      </w:pPr>
      <w:r>
        <w:rPr>
          <w:b/>
          <w:bCs/>
        </w:rPr>
        <w:t xml:space="preserve">E. Mobility Model</w:t>
      </w:r>
    </w:p>
    <w:p>
      <w:pPr>
        <w:spacing w:line="276"/>
        <w:ind w:firstLine="480"/>
      </w:pPr>
      <w:r>
        <w:rPr>
          <w:sz w:val="20"/>
          <w:szCs w:val="20"/>
        </w:rPr>
        <w:t xml:space="preserve">Vehicle mobility is modeled using the Gauss-Markov mobility model, which captures the temporal correlation of vehicle velocities. The velocity update equation is:</w:t>
      </w:r>
    </w:p>
    <w:p>
      <w:pPr>
        <w:spacing w:after="150" w:before="150"/>
        <w:jc w:val="center"/>
      </w:pPr>
      <w:r>
        <w:rPr>
          <w:i/>
          <w:iCs/>
          <w:sz w:val="20"/>
          <w:szCs w:val="20"/>
        </w:rPr>
        <w:t xml:space="preserve">v(t+Δt) = α·v(t) + (1-α)·μ + σ·√(1-α²)·ξ          (11)</w:t>
      </w:r>
    </w:p>
    <w:p>
      <w:pPr>
        <w:spacing w:line="276"/>
        <w:ind w:firstLine="480"/>
      </w:pPr>
      <w:r>
        <w:rPr>
          <w:sz w:val="20"/>
          <w:szCs w:val="20"/>
        </w:rPr>
        <w:t xml:space="preserve">where α ∈ [0,1] is the memory parameter controlling velocity correlation, μ is the mean velocity, σ is the velocity standard deviation, and ξ is a Gaussian random variable with zero mean and unit variance. This model provides realistic mobility traces that capture both the bounded nature of highway speeds and the temporal smoothness of vehicle acceleration.</w:t>
      </w:r>
    </w:p>
    <w:p>
      <w:pPr>
        <w:pStyle w:val="Heading2"/>
      </w:pPr>
      <w:r>
        <w:rPr>
          <w:b/>
          <w:bCs/>
        </w:rPr>
        <w:t xml:space="preserve">F. Problem Formulation as CMDP</w:t>
      </w:r>
    </w:p>
    <w:p>
      <w:pPr>
        <w:spacing w:line="276"/>
        <w:ind w:firstLine="480"/>
      </w:pPr>
      <w:r>
        <w:rPr>
          <w:sz w:val="20"/>
          <w:szCs w:val="20"/>
        </w:rPr>
        <w:t xml:space="preserve">We formulate the joint RIS optimization and handover management problem as a Constrained Markov Decision Process (CMDP) defined by the tuple M = ⟨S, A, P, R, γ, C⟩. The state space S comprises:</w:t>
      </w:r>
    </w:p>
    <w:p>
      <w:pPr>
        <w:spacing w:line="276"/>
        <w:ind w:firstLine="480"/>
      </w:pPr>
      <w:r>
        <w:rPr>
          <w:sz w:val="20"/>
          <w:szCs w:val="20"/>
        </w:rPr>
        <w:t xml:space="preserve">The objective is to maximize the long-term weighted sum of vehicle data rates while satisfying URLLC constraints:</w:t>
      </w:r>
    </w:p>
    <w:p>
      <w:pPr>
        <w:spacing w:after="150" w:before="150"/>
        <w:jc w:val="center"/>
      </w:pPr>
      <w:r>
        <w:rPr>
          <w:i/>
          <w:iCs/>
          <w:sz w:val="20"/>
          <w:szCs w:val="20"/>
        </w:rPr>
        <w:t xml:space="preserve">max_π E[Σ_{t=0}^{∞} γ^t·Σ_{v∈V(t)} w_v·R_v(t) | π]          (12)</w:t>
      </w:r>
    </w:p>
    <w:p>
      <w:pPr>
        <w:spacing w:line="276"/>
        <w:ind w:firstLine="480"/>
      </w:pPr>
      <w:r>
        <w:rPr>
          <w:sz w:val="20"/>
          <w:szCs w:val="20"/>
        </w:rPr>
        <w:t xml:space="preserve">subject to the URLLC latency constraint:</w:t>
      </w:r>
    </w:p>
    <w:p>
      <w:pPr>
        <w:spacing w:after="150" w:before="150"/>
        <w:jc w:val="center"/>
      </w:pPr>
      <w:r>
        <w:rPr>
          <w:i/>
          <w:iCs/>
          <w:sz w:val="20"/>
          <w:szCs w:val="20"/>
        </w:rPr>
        <w:t xml:space="preserve">P(T_{E2E,v}(t) &gt; τ_max) ≤ ε, ∀v ∈ V(t)          (13)</w:t>
      </w:r>
    </w:p>
    <w:p>
      <w:pPr>
        <w:spacing w:line="276"/>
        <w:ind w:firstLine="480"/>
      </w:pPr>
      <w:r>
        <w:rPr>
          <w:sz w:val="20"/>
          <w:szCs w:val="20"/>
        </w:rPr>
        <w:t xml:space="preserve">where τ_max = 1 ms and ε = 10⁻⁵ (99.999% reliability), and the handover success rate constraint:</w:t>
      </w:r>
    </w:p>
    <w:p>
      <w:pPr>
        <w:spacing w:after="150" w:before="150"/>
        <w:jc w:val="center"/>
      </w:pPr>
      <w:r>
        <w:rPr>
          <w:i/>
          <w:iCs/>
          <w:sz w:val="20"/>
          <w:szCs w:val="20"/>
        </w:rPr>
        <w:t xml:space="preserve">HSR(t) ≥ HSR_min, HSR_min = 95%          (14)</w:t>
      </w:r>
    </w:p>
    <w:p>
      <w:pPr>
        <w:spacing w:line="276"/>
        <w:ind w:firstLine="480"/>
      </w:pPr>
      <w:r>
        <w:rPr>
          <w:sz w:val="20"/>
          <w:szCs w:val="20"/>
        </w:rPr>
        <w:t xml:space="preserve">The state space s(t) = [s_V(t), s_B(t), s_R(t), s_C(t)] includes vehicle states (position, velocity, channel quality), gNB states (load, available resources), RIS states (phase configurations), and channel states (CSI, interference). The action space a(t) = [a_RIS(t), a_HO(t), a_RA(t)] includes RIS phase shifts, handover decisions, and resource allocations.</w:t>
      </w:r>
    </w:p>
    <w:p>
      <w:pPr>
        <w:pStyle w:val="Heading1"/>
      </w:pPr>
      <w:r>
        <w:rPr>
          <w:b/>
          <w:bCs/>
        </w:rPr>
        <w:t xml:space="preserve">IV. AI AGENT FRAMEWORK ARCHITECTURE</w:t>
      </w:r>
    </w:p>
    <w:p>
      <w:pPr>
        <w:pStyle w:val="Heading2"/>
      </w:pPr>
      <w:r>
        <w:rPr>
          <w:b/>
          <w:bCs/>
        </w:rPr>
        <w:t xml:space="preserve">A. Agent Loop Pattern</w:t>
      </w:r>
    </w:p>
    <w:p>
      <w:pPr>
        <w:spacing w:line="276"/>
        <w:ind w:firstLine="480"/>
      </w:pPr>
      <w:r>
        <w:rPr>
          <w:sz w:val="20"/>
          <w:szCs w:val="20"/>
        </w:rPr>
        <w:t xml:space="preserve">The proposed AI Agent framework integrates the Agent Loop Pattern from NetOps-Guardian-AI, providing a structured approach for autonomous decision-making in V2X mobility management. The Agent Loop Pattern defines an iterative cycle comprising five distinct phases: Analyze, Select, Execute, Validate, and Iterate. Each phase serves a specific purpose in ensuring robust and reliable decision-making.</w:t>
      </w:r>
    </w:p>
    <w:p>
      <w:pPr>
        <w:spacing w:after="100" w:before="20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238500"/>
                    </a:xfrm>
                    <a:prstGeom prst="rect">
                      <a:avLst/>
                    </a:prstGeom>
                  </pic:spPr>
                </pic:pic>
              </a:graphicData>
            </a:graphic>
          </wp:inline>
        </w:drawing>
      </w:r>
    </w:p>
    <w:p>
      <w:pPr>
        <w:spacing w:after="200"/>
        <w:jc w:val="center"/>
      </w:pPr>
      <w:r>
        <w:rPr>
          <w:i/>
          <w:iCs/>
          <w:sz w:val="18"/>
          <w:szCs w:val="18"/>
        </w:rPr>
        <w:t xml:space="preserve">Fig. 3. Agent Loop Pattern from NetOps-Guardian-AI: Iterative decision cycle for V2X mobility management.</w:t>
      </w:r>
    </w:p>
    <w:p>
      <w:pPr>
        <w:spacing w:line="276"/>
        <w:ind w:firstLine="480"/>
      </w:pPr>
      <w:r>
        <w:rPr>
          <w:sz w:val="20"/>
          <w:szCs w:val="20"/>
        </w:rPr>
        <w:t xml:space="preserve">In the Analyze phase, the agent processes the current observation to extract relevant features and detect patterns. This includes analyzing channel state information, vehicle mobility patterns, network load conditions, and historical performance metrics. The analysis produces a structured representation of the current environment state that guides subsequent decision-making.</w:t>
      </w:r>
    </w:p>
    <w:p>
      <w:pPr>
        <w:spacing w:line="276"/>
        <w:ind w:firstLine="480"/>
      </w:pPr>
      <w:r>
        <w:rPr>
          <w:sz w:val="20"/>
          <w:szCs w:val="20"/>
        </w:rPr>
        <w:t xml:space="preserve">The Select phase employs the learned policy π(a|s) to choose an action based on the analysis results. For the RIS Optimization Agent, this involves selecting phase shift configurations; for the Handover Management Agent, this involves deciding whether to initiate handover and selecting target gNBs. The selection incorporates exploration-exploitation trade-offs during training to ensure comprehensive policy learning.</w:t>
      </w:r>
    </w:p>
    <w:p>
      <w:pPr>
        <w:spacing w:line="276"/>
        <w:ind w:firstLine="480"/>
      </w:pPr>
      <w:r>
        <w:rPr>
          <w:sz w:val="20"/>
          <w:szCs w:val="20"/>
        </w:rPr>
        <w:t xml:space="preserve">The Execute phase applies the selected action to the environment. For RIS optimization, this triggers phase shift updates at the RIS panels through the control plane. For handover management, this initiates the handover signaling procedure with the target gNB. The execution phase monitors for successful completion and collects feedback for the validation phase.</w:t>
      </w:r>
    </w:p>
    <w:p>
      <w:pPr>
        <w:spacing w:line="276"/>
        <w:ind w:firstLine="480"/>
      </w:pPr>
      <w:r>
        <w:rPr>
          <w:sz w:val="20"/>
          <w:szCs w:val="20"/>
        </w:rPr>
        <w:t xml:space="preserve">The Validate phase verifies the effectiveness of the executed action. This includes checking whether the achieved SINR improvement meets predictions, whether handover completed successfully without packet loss, and whether all URLLC constraints remain satisfied. If validation fails, the Iterate phase refines the action with modified parameters.</w:t>
      </w:r>
    </w:p>
    <w:p>
      <w:pPr>
        <w:pStyle w:val="Heading2"/>
      </w:pPr>
      <w:r>
        <w:rPr>
          <w:b/>
          <w:bCs/>
        </w:rPr>
        <w:t xml:space="preserve">B. Specialized Agents</w:t>
      </w:r>
    </w:p>
    <w:p>
      <w:pPr>
        <w:spacing w:line="276"/>
        <w:ind w:firstLine="480"/>
      </w:pPr>
      <w:r>
        <w:rPr>
          <w:sz w:val="20"/>
          <w:szCs w:val="20"/>
        </w:rPr>
        <w:t xml:space="preserve">Our framework comprises three specialized agents, each responsible for a specific aspect of mobility management:</w:t>
      </w:r>
    </w:p>
    <w:p>
      <w:pPr>
        <w:pStyle w:val="Heading3"/>
      </w:pPr>
      <w:r>
        <w:rPr>
          <w:b/>
          <w:bCs/>
        </w:rPr>
        <w:t xml:space="preserve">1) RIS Optimization Agent</w:t>
      </w:r>
    </w:p>
    <w:p>
      <w:pPr>
        <w:spacing w:line="276"/>
        <w:ind w:firstLine="480"/>
      </w:pPr>
      <w:r>
        <w:rPr>
          <w:sz w:val="20"/>
          <w:szCs w:val="20"/>
        </w:rPr>
        <w:t xml:space="preserve">The RIS Optimization Agent focuses on dynamic phase shift configuration to maximize signal quality and coverage. Given the channel state information h_{v,r} and g_{r,b}, the agent computes optimal phase configurations using a learned policy network. The optimization objective is:</w:t>
      </w:r>
    </w:p>
    <w:p>
      <w:pPr>
        <w:spacing w:after="150" w:before="150"/>
        <w:jc w:val="center"/>
      </w:pPr>
      <w:r>
        <w:rPr>
          <w:i/>
          <w:iCs/>
          <w:sz w:val="20"/>
          <w:szCs w:val="20"/>
        </w:rPr>
        <w:t xml:space="preserve">max_θ Σ_v |h_v,b + Σ_n h_{v,r,n}·g_{r,b,n}·exp(jθ_{r,n})|²          (15)</w:t>
      </w:r>
    </w:p>
    <w:p>
      <w:pPr>
        <w:spacing w:line="276"/>
        <w:ind w:firstLine="480"/>
      </w:pPr>
      <w:r>
        <w:rPr>
          <w:sz w:val="20"/>
          <w:szCs w:val="20"/>
        </w:rPr>
        <w:t xml:space="preserve">The RIS agent implements the Agent Loop cycle as follows: (1) Analyze: Process CSI to identify coverage gaps and signal degradation areas; (2) Select: Compute phase configuration using policy network with exploration noise during training; (3) Execute: Apply phase shifts to RIS elements; (4) Validate: Verify SINR improvement against prediction; (5) Iterate: Adjust phase shifts if validation fails.</w:t>
      </w:r>
    </w:p>
    <w:p>
      <w:pPr>
        <w:pStyle w:val="Heading3"/>
      </w:pPr>
      <w:r>
        <w:rPr>
          <w:b/>
          <w:bCs/>
        </w:rPr>
        <w:t xml:space="preserve">2) Handover Management Agent</w:t>
      </w:r>
    </w:p>
    <w:p>
      <w:pPr>
        <w:spacing w:line="276"/>
        <w:ind w:firstLine="480"/>
      </w:pPr>
      <w:r>
        <w:rPr>
          <w:sz w:val="20"/>
          <w:szCs w:val="20"/>
        </w:rPr>
        <w:t xml:space="preserve">The Handover Management Agent makes proactive handover decisions based on trajectory prediction and signal quality forecasts. The handover decision incorporates hysteresis to prevent ping-pong effects:</w:t>
      </w:r>
    </w:p>
    <w:p>
      <w:pPr>
        <w:spacing w:after="150" w:before="150"/>
        <w:jc w:val="center"/>
      </w:pPr>
      <w:r>
        <w:rPr>
          <w:i/>
          <w:iCs/>
          <w:sz w:val="20"/>
          <w:szCs w:val="20"/>
        </w:rPr>
        <w:t xml:space="preserve">HO if RSRP_target &gt; RSRP_serving + H for duration ≥ TTT          (16)</w:t>
      </w:r>
    </w:p>
    <w:p>
      <w:pPr>
        <w:spacing w:line="276"/>
        <w:ind w:firstLine="480"/>
      </w:pPr>
      <w:r>
        <w:rPr>
          <w:sz w:val="20"/>
          <w:szCs w:val="20"/>
        </w:rPr>
        <w:t xml:space="preserve">where H is the hysteresis margin (typically 3 dB) and TTT is the time-to-trigger parameter. The agent uses trajectory prediction to anticipate future signal conditions and initiate handover proactively before signal quality degrades below acceptable thresholds.</w:t>
      </w:r>
    </w:p>
    <w:p>
      <w:pPr>
        <w:pStyle w:val="Heading3"/>
      </w:pPr>
      <w:r>
        <w:rPr>
          <w:b/>
          <w:bCs/>
        </w:rPr>
        <w:t xml:space="preserve">3) Resource Allocation Agent</w:t>
      </w:r>
    </w:p>
    <w:p>
      <w:pPr>
        <w:spacing w:line="276"/>
        <w:ind w:firstLine="480"/>
      </w:pPr>
      <w:r>
        <w:rPr>
          <w:sz w:val="20"/>
          <w:szCs w:val="20"/>
        </w:rPr>
        <w:t xml:space="preserve">The Resource Allocation Agent optimizes spectrum and power allocation to maximize network throughput while satisfying QoS constraints. The allocation decision considers current load conditions, channel quality indicators, and URLLC requirements:</w:t>
      </w:r>
    </w:p>
    <w:p>
      <w:pPr>
        <w:spacing w:after="150" w:before="150"/>
        <w:jc w:val="center"/>
      </w:pPr>
      <w:r>
        <w:rPr>
          <w:i/>
          <w:iCs/>
          <w:sz w:val="20"/>
          <w:szCs w:val="20"/>
        </w:rPr>
        <w:t xml:space="preserve">max_{p,rb} Σ_v R_v subject to Σ_k p_{v,k} ≤ P_max, ∀v          (17)</w:t>
      </w:r>
    </w:p>
    <w:p>
      <w:pPr>
        <w:pStyle w:val="Heading2"/>
      </w:pPr>
      <w:r>
        <w:rPr>
          <w:b/>
          <w:bCs/>
        </w:rPr>
        <w:t xml:space="preserve">C. Inter-Agent Coordination</w:t>
      </w:r>
    </w:p>
    <w:p>
      <w:pPr>
        <w:spacing w:line="276"/>
        <w:ind w:firstLine="480"/>
      </w:pPr>
      <w:r>
        <w:rPr>
          <w:sz w:val="20"/>
          <w:szCs w:val="20"/>
        </w:rPr>
        <w:t xml:space="preserve">Coordination among agents is achieved through the Agent Coordinator, which implements a message-passing mechanism for inter-agent communication. The coordinator ensures that actions from different agents do not conflict and that joint optimization objectives are achieved. The joint action selection follows:</w:t>
      </w:r>
    </w:p>
    <w:p>
      <w:pPr>
        <w:spacing w:after="150" w:before="150"/>
        <w:jc w:val="center"/>
      </w:pPr>
      <w:r>
        <w:rPr>
          <w:i/>
          <w:iCs/>
          <w:sz w:val="20"/>
          <w:szCs w:val="20"/>
        </w:rPr>
        <w:t xml:space="preserve">a* = argmax_a Σ_i Q_i(s, a_i) subject to C(s, a) ≤ c_threshold          (18)</w:t>
      </w:r>
    </w:p>
    <w:p>
      <w:pPr>
        <w:spacing w:line="276"/>
        <w:ind w:firstLine="480"/>
      </w:pPr>
      <w:r>
        <w:rPr>
          <w:sz w:val="20"/>
          <w:szCs w:val="20"/>
        </w:rPr>
        <w:t xml:space="preserve">The coordinator maintains a shared state representation and facilitates information exchange through a publish-subscribe pattern. Each agent publishes relevant observations and action intentions, while subscribing to information from other agents that affects its decision-making.</w:t>
      </w:r>
    </w:p>
    <w:p>
      <w:pPr>
        <w:pStyle w:val="Heading1"/>
      </w:pPr>
      <w:r>
        <w:rPr>
          <w:b/>
          <w:bCs/>
        </w:rPr>
        <w:t xml:space="preserve">V. MULTI-AGENT REINFORCEMENT LEARNING ALGORITHMS</w:t>
      </w:r>
    </w:p>
    <w:p>
      <w:pPr>
        <w:pStyle w:val="Heading2"/>
      </w:pPr>
      <w:r>
        <w:rPr>
          <w:b/>
          <w:bCs/>
        </w:rPr>
        <w:t xml:space="preserve">A. QMIX Value Decomposition</w:t>
      </w:r>
    </w:p>
    <w:p>
      <w:pPr>
        <w:spacing w:line="276"/>
        <w:ind w:firstLine="480"/>
      </w:pPr>
      <w:r>
        <w:rPr>
          <w:sz w:val="20"/>
          <w:szCs w:val="20"/>
        </w:rPr>
        <w:t xml:space="preserve">QMIX provides a value-decomposition approach that enables centralized training with decentralized execution. The method factorizes the joint action-value function Q_tot into a monotonic combination of individual agent Q-functions:</w:t>
      </w:r>
    </w:p>
    <w:p>
      <w:pPr>
        <w:spacing w:after="150" w:before="150"/>
        <w:jc w:val="center"/>
      </w:pPr>
      <w:r>
        <w:rPr>
          <w:i/>
          <w:iCs/>
          <w:sz w:val="20"/>
          <w:szCs w:val="20"/>
        </w:rPr>
        <w:t xml:space="preserve">Q_tot(s, a) = f_mix(Q_1(s_1, a_1), ..., Q_n(s_n, a_n))          (19)</w:t>
      </w:r>
    </w:p>
    <w:p>
      <w:pPr>
        <w:spacing w:line="276"/>
        <w:ind w:firstLine="480"/>
      </w:pPr>
      <w:r>
        <w:rPr>
          <w:sz w:val="20"/>
          <w:szCs w:val="20"/>
        </w:rPr>
        <w:t xml:space="preserve">subject to the monotonicity constraint:</w:t>
      </w:r>
    </w:p>
    <w:p>
      <w:pPr>
        <w:spacing w:after="150" w:before="150"/>
        <w:jc w:val="center"/>
      </w:pPr>
      <w:r>
        <w:rPr>
          <w:i/>
          <w:iCs/>
          <w:sz w:val="20"/>
          <w:szCs w:val="20"/>
        </w:rPr>
        <w:t xml:space="preserve">∂Q_tot/∂Q_i ≥ 0, ∀i ∈ {1, ..., n}          (20)</w:t>
      </w:r>
    </w:p>
    <w:p>
      <w:pPr>
        <w:spacing w:after="100" w:before="20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i/>
          <w:iCs/>
          <w:sz w:val="18"/>
          <w:szCs w:val="18"/>
        </w:rPr>
        <w:t xml:space="preserve">Fig. 4. QMIX Architecture: Value-decomposition network with mixing network and hypernetworks.</w:t>
      </w:r>
    </w:p>
    <w:p>
      <w:pPr>
        <w:spacing w:line="276"/>
        <w:ind w:firstLine="480"/>
      </w:pPr>
      <w:r>
        <w:rPr>
          <w:sz w:val="20"/>
          <w:szCs w:val="20"/>
        </w:rPr>
        <w:t xml:space="preserve">The mixing network f_mix is implemented using hypernetworks that generate weights conditioned on the global state. Each hypernetwork produces non-negative weights through absolute value activation, ensuring the monotonicity constraint is satisfied. The loss function for training is:</w:t>
      </w:r>
    </w:p>
    <w:p>
      <w:pPr>
        <w:spacing w:after="150" w:before="150"/>
        <w:jc w:val="center"/>
      </w:pPr>
      <w:r>
        <w:rPr>
          <w:i/>
          <w:iCs/>
          <w:sz w:val="20"/>
          <w:szCs w:val="20"/>
        </w:rPr>
        <w:t xml:space="preserve">L(θ) = E[(y - Q_tot(s, a; θ))²]          (21)</w:t>
      </w:r>
    </w:p>
    <w:p>
      <w:pPr>
        <w:spacing w:line="276"/>
        <w:ind w:firstLine="480"/>
      </w:pPr>
      <w:r>
        <w:rPr>
          <w:sz w:val="20"/>
          <w:szCs w:val="20"/>
        </w:rPr>
        <w:t xml:space="preserve">where y = r + γ·max_a' Q_tot(s', a'; θ^-) is the target value computed using a target network with parameters θ^- that are periodically updated from the main network parameters θ.</w:t>
      </w:r>
    </w:p>
    <w:p>
      <w:pPr>
        <w:pStyle w:val="Heading2"/>
      </w:pPr>
      <w:r>
        <w:rPr>
          <w:b/>
          <w:bCs/>
        </w:rPr>
        <w:t xml:space="preserve">B. MAPPO Policy Optimization</w:t>
      </w:r>
    </w:p>
    <w:p>
      <w:pPr>
        <w:spacing w:line="276"/>
        <w:ind w:firstLine="480"/>
      </w:pPr>
      <w:r>
        <w:rPr>
          <w:sz w:val="20"/>
          <w:szCs w:val="20"/>
        </w:rPr>
        <w:t xml:space="preserve">MAPPO extends PPO to multi-agent settings with centralized value functions. Each agent maintains its own policy network π_θ_i(a_i|o_i) while sharing a centralized critic V_φ(s). The policy objective is:</w:t>
      </w:r>
    </w:p>
    <w:p>
      <w:pPr>
        <w:spacing w:after="150" w:before="150"/>
        <w:jc w:val="center"/>
      </w:pPr>
      <w:r>
        <w:rPr>
          <w:i/>
          <w:iCs/>
          <w:sz w:val="20"/>
          <w:szCs w:val="20"/>
        </w:rPr>
        <w:t xml:space="preserve">L^CLIP(θ) = E[min(r(θ)·Â, clip(r(θ), 1-ε, 1+ε)·Â)]          (22)</w:t>
      </w:r>
    </w:p>
    <w:p>
      <w:pPr>
        <w:spacing w:line="276"/>
        <w:ind w:firstLine="480"/>
      </w:pPr>
      <w:r>
        <w:rPr>
          <w:sz w:val="20"/>
          <w:szCs w:val="20"/>
        </w:rPr>
        <w:t xml:space="preserve">where r(θ) = π_θ(a|s)/π_θ_old(a|s) is the probability ratio, Â = Σ_t (γλ)^t δ_t          (22)</w:t>
      </w:r>
    </w:p>
    <w:p>
      <w:pPr>
        <w:spacing w:line="276"/>
        <w:ind w:firstLine="480"/>
      </w:pPr>
      <w:r>
        <w:rPr>
          <w:sz w:val="20"/>
          <w:szCs w:val="20"/>
        </w:rPr>
        <w:t xml:space="preserve">where r(θ) = π_θ(a|s)/π_θ_old(a|s) is the probability ratio, Â is the advantage estimate, and ε is the clip parameter (typically 0.2). The value function loss is:</w:t>
      </w:r>
    </w:p>
    <w:p>
      <w:pPr>
        <w:spacing w:after="150" w:before="150"/>
        <w:jc w:val="center"/>
      </w:pPr>
      <w:r>
        <w:rPr>
          <w:i/>
          <w:iCs/>
          <w:sz w:val="20"/>
          <w:szCs w:val="20"/>
        </w:rPr>
        <w:t xml:space="preserve">L^VF(φ) = E[(V_φ(s) - R)²]          (23)</w:t>
      </w:r>
    </w:p>
    <w:p>
      <w:pPr>
        <w:spacing w:after="100" w:before="20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i/>
          <w:iCs/>
          <w:sz w:val="18"/>
          <w:szCs w:val="18"/>
        </w:rPr>
        <w:t xml:space="preserve">Fig. 5. MAPPO Architecture: Centralized training with decentralized execution using PPO.</w:t>
      </w:r>
    </w:p>
    <w:p>
      <w:pPr>
        <w:spacing w:line="276"/>
        <w:ind w:firstLine="480"/>
      </w:pPr>
      <w:r>
        <w:rPr>
          <w:sz w:val="20"/>
          <w:szCs w:val="20"/>
        </w:rPr>
        <w:t xml:space="preserve">The total objective combines policy loss, value loss, and entropy bonus:</w:t>
      </w:r>
    </w:p>
    <w:p>
      <w:pPr>
        <w:spacing w:after="150" w:before="150"/>
        <w:jc w:val="center"/>
      </w:pPr>
      <w:r>
        <w:rPr>
          <w:i/>
          <w:iCs/>
          <w:sz w:val="20"/>
          <w:szCs w:val="20"/>
        </w:rPr>
        <w:t xml:space="preserve">L(θ, φ) = -L^CLIP + c_1·L^VF - c_2·H(π_θ)          (24)</w:t>
      </w:r>
    </w:p>
    <w:p>
      <w:pPr>
        <w:spacing w:line="276"/>
        <w:ind w:firstLine="480"/>
      </w:pPr>
      <w:r>
        <w:rPr>
          <w:sz w:val="20"/>
          <w:szCs w:val="20"/>
        </w:rPr>
        <w:t xml:space="preserve">where c_1 and c_2 are hyperparameters controlling the relative importance of value function accuracy and entropy regularization.</w:t>
      </w:r>
    </w:p>
    <w:p>
      <w:pPr>
        <w:pStyle w:val="Heading2"/>
      </w:pPr>
      <w:r>
        <w:rPr>
          <w:b/>
          <w:bCs/>
        </w:rPr>
        <w:t xml:space="preserve">C. Convergence Analysis</w:t>
      </w:r>
    </w:p>
    <w:p>
      <w:pPr>
        <w:spacing w:line="276"/>
        <w:ind w:firstLine="480"/>
      </w:pPr>
      <w:r>
        <w:rPr>
          <w:sz w:val="20"/>
          <w:szCs w:val="20"/>
        </w:rPr>
        <w:t xml:space="preserve">We provide convergence guarantees for the proposed MARL algorithms using Lyapunov stability theory. Define the Lyapunov function as the expected squared gradient norm:</w:t>
      </w:r>
    </w:p>
    <w:p>
      <w:pPr>
        <w:spacing w:after="150" w:before="150"/>
        <w:jc w:val="center"/>
      </w:pPr>
      <w:r>
        <w:rPr>
          <w:i/>
          <w:iCs/>
          <w:sz w:val="20"/>
          <w:szCs w:val="20"/>
        </w:rPr>
        <w:t xml:space="preserve">V(s) = E[Σ_{t=0}^{∞} γ^t·||∇_θ J(θ_t)||²]          (25)</w:t>
      </w:r>
    </w:p>
    <w:p>
      <w:pPr>
        <w:spacing w:line="276"/>
        <w:ind w:firstLine="480"/>
      </w:pPr>
      <w:r>
        <w:rPr>
          <w:sz w:val="20"/>
          <w:szCs w:val="20"/>
        </w:rPr>
        <w:t xml:space="preserve">Under standard assumptions of smooth policy gradients and bounded gradients, we establish that V(s) decreases monotonically during training. For QMIX, the convergence rate satisfies:</w:t>
      </w:r>
    </w:p>
    <w:p>
      <w:pPr>
        <w:spacing w:after="150" w:before="150"/>
        <w:jc w:val="center"/>
      </w:pPr>
      <w:r>
        <w:rPr>
          <w:i/>
          <w:iCs/>
          <w:sz w:val="20"/>
          <w:szCs w:val="20"/>
        </w:rPr>
        <w:t xml:space="preserve">||Q_k - Q*|| ≤ ρ^k·||Q_0 - Q*||, ρ ∈ (0, 1)          (26)</w:t>
      </w:r>
    </w:p>
    <w:p>
      <w:pPr>
        <w:spacing w:line="276"/>
        <w:ind w:firstLine="480"/>
      </w:pPr>
      <w:r>
        <w:rPr>
          <w:sz w:val="20"/>
          <w:szCs w:val="20"/>
        </w:rPr>
        <w:t xml:space="preserve">where Q* is the optimal Q-function and ρ depends on the learning rate α and mixing network architecture. For MAPPO, the sample complexity is:</w:t>
      </w:r>
    </w:p>
    <w:p>
      <w:pPr>
        <w:spacing w:after="150" w:before="150"/>
        <w:jc w:val="center"/>
      </w:pPr>
      <w:r>
        <w:rPr>
          <w:i/>
          <w:iCs/>
          <w:sz w:val="20"/>
          <w:szCs w:val="20"/>
        </w:rPr>
        <w:t xml:space="preserve">O(1/ε³) episodes to achieve ε-optimal policy          (27)</w:t>
      </w:r>
    </w:p>
    <w:p>
      <w:pPr>
        <w:spacing w:line="276"/>
        <w:ind w:firstLine="480"/>
      </w:pPr>
      <w:r>
        <w:rPr>
          <w:sz w:val="20"/>
          <w:szCs w:val="20"/>
        </w:rPr>
        <w:t xml:space="preserve">The Lyapunov stability condition requires:</w:t>
      </w:r>
    </w:p>
    <w:p>
      <w:pPr>
        <w:spacing w:after="150" w:before="150"/>
        <w:jc w:val="center"/>
      </w:pPr>
      <w:r>
        <w:rPr>
          <w:i/>
          <w:iCs/>
          <w:sz w:val="20"/>
          <w:szCs w:val="20"/>
        </w:rPr>
        <w:t xml:space="preserve">E[V(s_{t+1}) - V(s_t)] ≤ -c·||∇_θ J(θ)||²          (28)</w:t>
      </w:r>
    </w:p>
    <w:p>
      <w:pPr>
        <w:spacing w:line="276"/>
        <w:ind w:firstLine="480"/>
      </w:pPr>
      <w:r>
        <w:rPr>
          <w:sz w:val="20"/>
          <w:szCs w:val="20"/>
        </w:rPr>
        <w:t xml:space="preserve">which is satisfied under appropriate learning rate schedules. The Agent Loop validation phase provides an additional mechanism for ensuring convergence by rejecting actions that would lead to constraint violations.</w:t>
      </w:r>
    </w:p>
    <w:p>
      <w:pPr>
        <w:pStyle w:val="Heading1"/>
      </w:pPr>
      <w:r>
        <w:rPr>
          <w:b/>
          <w:bCs/>
        </w:rPr>
        <w:t xml:space="preserve">VI. SIMULATION RESULTS AND DISCUSSION</w:t>
      </w:r>
    </w:p>
    <w:p>
      <w:pPr>
        <w:pStyle w:val="Heading2"/>
      </w:pPr>
      <w:r>
        <w:rPr>
          <w:b/>
          <w:bCs/>
        </w:rPr>
        <w:t xml:space="preserve">A. Simulation Setup</w:t>
      </w:r>
    </w:p>
    <w:p>
      <w:pPr>
        <w:spacing w:line="276"/>
        <w:ind w:firstLine="480"/>
      </w:pPr>
      <w:r>
        <w:rPr>
          <w:sz w:val="20"/>
          <w:szCs w:val="20"/>
        </w:rPr>
        <w:t xml:space="preserve">We evaluate the proposed framework through extensive simulations using a custom-built V2X simulator implementing the 3GPP TR 38.901 channel model and Gauss-Markov mobility model. The simulation parameters are summarized in Table I.</w:t>
      </w:r>
    </w:p>
    <w:p>
      <w:pPr>
        <w:spacing w:after="100" w:before="200"/>
        <w:jc w:val="center"/>
      </w:pPr>
      <w:r>
        <w:rPr>
          <w:b/>
          <w:bCs/>
          <w:sz w:val="18"/>
          <w:szCs w:val="18"/>
        </w:rPr>
        <w:t xml:space="preserve">TABLE I: SIMULATION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0B1220" w:sz="12"/>
              <w:left w:val="none"/>
              <w:bottom w:val="single" w:color="0B1220" w:sz="12"/>
              <w:right w:val="none"/>
            </w:tcBorders>
            <w:shd w:fill="F1F5F9" w:val="clear"/>
          </w:tcPr>
          <w:p>
            <w:pPr>
              <w:jc w:val="center"/>
            </w:pPr>
            <w:r>
              <w:rPr>
                <w:b/>
                <w:bCs/>
                <w:sz w:val="18"/>
                <w:szCs w:val="18"/>
              </w:rPr>
              <w:t xml:space="preserve">Parameter</w:t>
            </w:r>
          </w:p>
        </w:tc>
        <w:tc>
          <w:tcPr>
            <w:tcBorders>
              <w:top w:val="single" w:color="0B1220" w:sz="12"/>
              <w:left w:val="none"/>
              <w:bottom w:val="single" w:color="0B1220" w:sz="12"/>
              <w:right w:val="none"/>
            </w:tcBorders>
            <w:shd w:fill="F1F5F9" w:val="clear"/>
          </w:tcPr>
          <w:p>
            <w:pPr>
              <w:jc w:val="center"/>
            </w:pPr>
            <w:r>
              <w:rPr>
                <w:b/>
                <w:bCs/>
                <w:sz w:val="18"/>
                <w:szCs w:val="18"/>
              </w:rPr>
              <w:t xml:space="preserve">Value</w:t>
            </w:r>
          </w:p>
        </w:tc>
      </w:tr>
      <w:tr>
        <w:tc>
          <w:tcPr>
            <w:tcBorders>
              <w:top w:val="single" w:color="0B1220" w:sz="12"/>
              <w:left w:val="none"/>
              <w:bottom w:val="single" w:color="0B1220" w:sz="12"/>
              <w:right w:val="none"/>
            </w:tcBorders>
          </w:tcPr>
          <w:p>
            <w:r>
              <w:rPr>
                <w:sz w:val="18"/>
                <w:szCs w:val="18"/>
              </w:rPr>
              <w:t xml:space="preserve">Carrier Frequency (f_c)</w:t>
            </w:r>
          </w:p>
        </w:tc>
        <w:tc>
          <w:tcPr>
            <w:tcBorders>
              <w:top w:val="single" w:color="0B1220" w:sz="12"/>
              <w:left w:val="none"/>
              <w:bottom w:val="single" w:color="0B1220" w:sz="12"/>
              <w:right w:val="none"/>
            </w:tcBorders>
          </w:tcPr>
          <w:p>
            <w:pPr>
              <w:jc w:val="center"/>
            </w:pPr>
            <w:r>
              <w:rPr>
                <w:sz w:val="18"/>
                <w:szCs w:val="18"/>
              </w:rPr>
              <w:t xml:space="preserve">28 GHz</w:t>
            </w:r>
          </w:p>
        </w:tc>
      </w:tr>
      <w:tr>
        <w:tc>
          <w:tcPr>
            <w:tcBorders>
              <w:top w:val="single" w:color="0B1220" w:sz="12"/>
              <w:left w:val="none"/>
              <w:bottom w:val="single" w:color="0B1220" w:sz="12"/>
              <w:right w:val="none"/>
            </w:tcBorders>
          </w:tcPr>
          <w:p>
            <w:r>
              <w:rPr>
                <w:sz w:val="18"/>
                <w:szCs w:val="18"/>
              </w:rPr>
              <w:t xml:space="preserve">Bandwidth (W)</w:t>
            </w:r>
          </w:p>
        </w:tc>
        <w:tc>
          <w:tcPr>
            <w:tcBorders>
              <w:top w:val="single" w:color="0B1220" w:sz="12"/>
              <w:left w:val="none"/>
              <w:bottom w:val="single" w:color="0B1220" w:sz="12"/>
              <w:right w:val="none"/>
            </w:tcBorders>
          </w:tcPr>
          <w:p>
            <w:pPr>
              <w:jc w:val="center"/>
            </w:pPr>
            <w:r>
              <w:rPr>
                <w:sz w:val="18"/>
                <w:szCs w:val="18"/>
              </w:rPr>
              <w:t xml:space="preserve">400 MHz</w:t>
            </w:r>
          </w:p>
        </w:tc>
      </w:tr>
      <w:tr>
        <w:tc>
          <w:tcPr>
            <w:tcBorders>
              <w:top w:val="single" w:color="0B1220" w:sz="12"/>
              <w:left w:val="none"/>
              <w:bottom w:val="single" w:color="0B1220" w:sz="12"/>
              <w:right w:val="none"/>
            </w:tcBorders>
          </w:tcPr>
          <w:p>
            <w:r>
              <w:rPr>
                <w:sz w:val="18"/>
                <w:szCs w:val="18"/>
              </w:rPr>
              <w:t xml:space="preserve">Number of gNBs (|B|)</w:t>
            </w:r>
          </w:p>
        </w:tc>
        <w:tc>
          <w:tcPr>
            <w:tcBorders>
              <w:top w:val="single" w:color="0B1220" w:sz="12"/>
              <w:left w:val="none"/>
              <w:bottom w:val="single" w:color="0B1220" w:sz="12"/>
              <w:right w:val="none"/>
            </w:tcBorders>
          </w:tcPr>
          <w:p>
            <w:pPr>
              <w:jc w:val="center"/>
            </w:pPr>
            <w:r>
              <w:rPr>
                <w:sz w:val="18"/>
                <w:szCs w:val="18"/>
              </w:rPr>
              <w:t xml:space="preserve">5</w:t>
            </w:r>
          </w:p>
        </w:tc>
      </w:tr>
      <w:tr>
        <w:tc>
          <w:tcPr>
            <w:tcBorders>
              <w:top w:val="single" w:color="0B1220" w:sz="12"/>
              <w:left w:val="none"/>
              <w:bottom w:val="single" w:color="0B1220" w:sz="12"/>
              <w:right w:val="none"/>
            </w:tcBorders>
          </w:tcPr>
          <w:p>
            <w:r>
              <w:rPr>
                <w:sz w:val="18"/>
                <w:szCs w:val="18"/>
              </w:rPr>
              <w:t xml:space="preserve">Number of RIS Panels (|R|)</w:t>
            </w:r>
          </w:p>
        </w:tc>
        <w:tc>
          <w:tcPr>
            <w:tcBorders>
              <w:top w:val="single" w:color="0B1220" w:sz="12"/>
              <w:left w:val="none"/>
              <w:bottom w:val="single" w:color="0B1220" w:sz="12"/>
              <w:right w:val="none"/>
            </w:tcBorders>
          </w:tcPr>
          <w:p>
            <w:pPr>
              <w:jc w:val="center"/>
            </w:pPr>
            <w:r>
              <w:rPr>
                <w:sz w:val="18"/>
                <w:szCs w:val="18"/>
              </w:rPr>
              <w:t xml:space="preserve">3</w:t>
            </w:r>
          </w:p>
        </w:tc>
      </w:tr>
      <w:tr>
        <w:tc>
          <w:tcPr>
            <w:tcBorders>
              <w:top w:val="single" w:color="0B1220" w:sz="12"/>
              <w:left w:val="none"/>
              <w:bottom w:val="single" w:color="0B1220" w:sz="12"/>
              <w:right w:val="none"/>
            </w:tcBorders>
          </w:tcPr>
          <w:p>
            <w:r>
              <w:rPr>
                <w:sz w:val="18"/>
                <w:szCs w:val="18"/>
              </w:rPr>
              <w:t xml:space="preserve">RIS Elements (N)</w:t>
            </w:r>
          </w:p>
        </w:tc>
        <w:tc>
          <w:tcPr>
            <w:tcBorders>
              <w:top w:val="single" w:color="0B1220" w:sz="12"/>
              <w:left w:val="none"/>
              <w:bottom w:val="single" w:color="0B1220" w:sz="12"/>
              <w:right w:val="none"/>
            </w:tcBorders>
          </w:tcPr>
          <w:p>
            <w:pPr>
              <w:jc w:val="center"/>
            </w:pPr>
            <w:r>
              <w:rPr>
                <w:sz w:val="18"/>
                <w:szCs w:val="18"/>
              </w:rPr>
              <w:t xml:space="preserve">64 (8×8)</w:t>
            </w:r>
          </w:p>
        </w:tc>
      </w:tr>
      <w:tr>
        <w:tc>
          <w:tcPr>
            <w:tcBorders>
              <w:top w:val="single" w:color="0B1220" w:sz="12"/>
              <w:left w:val="none"/>
              <w:bottom w:val="single" w:color="0B1220" w:sz="12"/>
              <w:right w:val="none"/>
            </w:tcBorders>
          </w:tcPr>
          <w:p>
            <w:r>
              <w:rPr>
                <w:sz w:val="18"/>
                <w:szCs w:val="18"/>
              </w:rPr>
              <w:t xml:space="preserve">Phase Quantization</w:t>
            </w:r>
          </w:p>
        </w:tc>
        <w:tc>
          <w:tcPr>
            <w:tcBorders>
              <w:top w:val="single" w:color="0B1220" w:sz="12"/>
              <w:left w:val="none"/>
              <w:bottom w:val="single" w:color="0B1220" w:sz="12"/>
              <w:right w:val="none"/>
            </w:tcBorders>
          </w:tcPr>
          <w:p>
            <w:pPr>
              <w:jc w:val="center"/>
            </w:pPr>
            <w:r>
              <w:rPr>
                <w:sz w:val="18"/>
                <w:szCs w:val="18"/>
              </w:rPr>
              <w:t xml:space="preserve">4-bit (16 levels)</w:t>
            </w:r>
          </w:p>
        </w:tc>
      </w:tr>
      <w:tr>
        <w:tc>
          <w:tcPr>
            <w:tcBorders>
              <w:top w:val="single" w:color="0B1220" w:sz="12"/>
              <w:left w:val="none"/>
              <w:bottom w:val="single" w:color="0B1220" w:sz="12"/>
              <w:right w:val="none"/>
            </w:tcBorders>
          </w:tcPr>
          <w:p>
            <w:r>
              <w:rPr>
                <w:sz w:val="18"/>
                <w:szCs w:val="18"/>
              </w:rPr>
              <w:t xml:space="preserve">Vehicle Speed Range</w:t>
            </w:r>
          </w:p>
        </w:tc>
        <w:tc>
          <w:tcPr>
            <w:tcBorders>
              <w:top w:val="single" w:color="0B1220" w:sz="12"/>
              <w:left w:val="none"/>
              <w:bottom w:val="single" w:color="0B1220" w:sz="12"/>
              <w:right w:val="none"/>
            </w:tcBorders>
          </w:tcPr>
          <w:p>
            <w:pPr>
              <w:jc w:val="center"/>
            </w:pPr>
            <w:r>
              <w:rPr>
                <w:sz w:val="18"/>
                <w:szCs w:val="18"/>
              </w:rPr>
              <w:t xml:space="preserve">80-500 km/h</w:t>
            </w:r>
          </w:p>
        </w:tc>
      </w:tr>
      <w:tr>
        <w:tc>
          <w:tcPr>
            <w:tcBorders>
              <w:top w:val="single" w:color="0B1220" w:sz="12"/>
              <w:left w:val="none"/>
              <w:bottom w:val="single" w:color="0B1220" w:sz="12"/>
              <w:right w:val="none"/>
            </w:tcBorders>
          </w:tcPr>
          <w:p>
            <w:r>
              <w:rPr>
                <w:sz w:val="18"/>
                <w:szCs w:val="18"/>
              </w:rPr>
              <w:t xml:space="preserve">Discount Factor (γ)</w:t>
            </w:r>
          </w:p>
        </w:tc>
        <w:tc>
          <w:tcPr>
            <w:tcBorders>
              <w:top w:val="single" w:color="0B1220" w:sz="12"/>
              <w:left w:val="none"/>
              <w:bottom w:val="single" w:color="0B1220" w:sz="12"/>
              <w:right w:val="none"/>
            </w:tcBorders>
          </w:tcPr>
          <w:p>
            <w:pPr>
              <w:jc w:val="center"/>
            </w:pPr>
            <w:r>
              <w:rPr>
                <w:sz w:val="18"/>
                <w:szCs w:val="18"/>
              </w:rPr>
              <w:t xml:space="preserve">0.99</w:t>
            </w:r>
          </w:p>
        </w:tc>
      </w:tr>
      <w:tr>
        <w:tc>
          <w:tcPr>
            <w:tcBorders>
              <w:top w:val="single" w:color="0B1220" w:sz="12"/>
              <w:left w:val="none"/>
              <w:bottom w:val="single" w:color="0B1220" w:sz="12"/>
              <w:right w:val="none"/>
            </w:tcBorders>
          </w:tcPr>
          <w:p>
            <w:r>
              <w:rPr>
                <w:sz w:val="18"/>
                <w:szCs w:val="18"/>
              </w:rPr>
              <w:t xml:space="preserve">Learning Rate</w:t>
            </w:r>
          </w:p>
        </w:tc>
        <w:tc>
          <w:tcPr>
            <w:tcBorders>
              <w:top w:val="single" w:color="0B1220" w:sz="12"/>
              <w:left w:val="none"/>
              <w:bottom w:val="single" w:color="0B1220" w:sz="12"/>
              <w:right w:val="none"/>
            </w:tcBorders>
          </w:tcPr>
          <w:p>
            <w:pPr>
              <w:jc w:val="center"/>
            </w:pPr>
            <w:r>
              <w:rPr>
                <w:sz w:val="18"/>
                <w:szCs w:val="18"/>
              </w:rPr>
              <w:t xml:space="preserve">5×10⁻⁴</w:t>
            </w:r>
          </w:p>
        </w:tc>
      </w:tr>
      <w:tr>
        <w:tc>
          <w:tcPr>
            <w:tcBorders>
              <w:top w:val="single" w:color="0B1220" w:sz="12"/>
              <w:left w:val="none"/>
              <w:bottom w:val="single" w:color="0B1220" w:sz="12"/>
              <w:right w:val="none"/>
            </w:tcBorders>
          </w:tcPr>
          <w:p>
            <w:r>
              <w:rPr>
                <w:sz w:val="18"/>
                <w:szCs w:val="18"/>
              </w:rPr>
              <w:t xml:space="preserve">Training Episodes</w:t>
            </w:r>
          </w:p>
        </w:tc>
        <w:tc>
          <w:tcPr>
            <w:tcBorders>
              <w:top w:val="single" w:color="0B1220" w:sz="12"/>
              <w:left w:val="none"/>
              <w:bottom w:val="single" w:color="0B1220" w:sz="12"/>
              <w:right w:val="none"/>
            </w:tcBorders>
          </w:tcPr>
          <w:p>
            <w:pPr>
              <w:jc w:val="center"/>
            </w:pPr>
            <w:r>
              <w:rPr>
                <w:sz w:val="18"/>
                <w:szCs w:val="18"/>
              </w:rPr>
              <w:t xml:space="preserve">10,000</w:t>
            </w:r>
          </w:p>
        </w:tc>
      </w:tr>
    </w:tbl>
    <w:p>
      <w:pPr>
        <w:pStyle w:val="Heading2"/>
      </w:pPr>
      <w:r>
        <w:rPr>
          <w:b/>
          <w:bCs/>
        </w:rPr>
        <w:t xml:space="preserve">B. SINR Performance</w:t>
      </w:r>
    </w:p>
    <w:p>
      <w:pPr>
        <w:spacing w:line="276"/>
        <w:ind w:firstLine="480"/>
      </w:pPr>
      <w:r>
        <w:rPr>
          <w:sz w:val="20"/>
          <w:szCs w:val="20"/>
        </w:rPr>
        <w:t xml:space="preserve">Figure 6 presents the SINR performance as a function of vehicle speed. The proposed Agent Loop + MARL framework maintains consistent SINR improvement across all speed ranges, with an average gain of 8.2 dB over the no-RIS baseline. The improvement is particularly pronounced at higher speeds, where conventional methods struggle to maintain signal quality due to rapid channel variations.</w:t>
      </w:r>
    </w:p>
    <w:p>
      <w:pPr>
        <w:spacing w:after="100" w:before="200"/>
        <w:jc w:val="center"/>
      </w:pPr>
      <w:r>
        <w:drawing>
          <wp:inline distT="0" distB="0" distL="0" distR="0">
            <wp:extent cx="3619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286000"/>
                    </a:xfrm>
                    <a:prstGeom prst="rect">
                      <a:avLst/>
                    </a:prstGeom>
                  </pic:spPr>
                </pic:pic>
              </a:graphicData>
            </a:graphic>
          </wp:inline>
        </w:drawing>
      </w:r>
    </w:p>
    <w:p>
      <w:pPr>
        <w:spacing w:after="200"/>
        <w:jc w:val="center"/>
      </w:pPr>
      <w:r>
        <w:rPr>
          <w:i/>
          <w:iCs/>
          <w:sz w:val="18"/>
          <w:szCs w:val="18"/>
        </w:rPr>
        <w:t xml:space="preserve">Fig. 6. SINR Performance vs. Vehicle Speed for different methods.</w:t>
      </w:r>
    </w:p>
    <w:p>
      <w:pPr>
        <w:pStyle w:val="Heading2"/>
      </w:pPr>
      <w:r>
        <w:rPr>
          <w:b/>
          <w:bCs/>
        </w:rPr>
        <w:t xml:space="preserve">C. Handover Success Rate</w:t>
      </w:r>
    </w:p>
    <w:p>
      <w:pPr>
        <w:spacing w:line="276"/>
        <w:ind w:firstLine="480"/>
      </w:pPr>
      <w:r>
        <w:rPr>
          <w:sz w:val="20"/>
          <w:szCs w:val="20"/>
        </w:rPr>
        <w:t xml:space="preserve">Figure 7 shows the handover success rate performance across different vehicle speeds. The proposed framework achieves 98.5% HSR even at the maximum speed of 500 km/h, significantly outperforming conventional methods that drop below 90% at high speeds. The Agent Loop validation mechanism plays a crucial role by preventing premature handover attempts and ensuring sufficient signal quality at the target gNB.</w:t>
      </w:r>
    </w:p>
    <w:p>
      <w:pPr>
        <w:spacing w:after="100" w:before="200"/>
        <w:jc w:val="center"/>
      </w:pPr>
      <w:r>
        <w:drawing>
          <wp:inline distT="0" distB="0" distL="0" distR="0">
            <wp:extent cx="3619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286000"/>
                    </a:xfrm>
                    <a:prstGeom prst="rect">
                      <a:avLst/>
                    </a:prstGeom>
                  </pic:spPr>
                </pic:pic>
              </a:graphicData>
            </a:graphic>
          </wp:inline>
        </w:drawing>
      </w:r>
    </w:p>
    <w:p>
      <w:pPr>
        <w:spacing w:after="200"/>
        <w:jc w:val="center"/>
      </w:pPr>
      <w:r>
        <w:rPr>
          <w:i/>
          <w:iCs/>
          <w:sz w:val="18"/>
          <w:szCs w:val="18"/>
        </w:rPr>
        <w:t xml:space="preserve">Fig. 7. Handover Success Rate vs. Vehicle Speed.</w:t>
      </w:r>
    </w:p>
    <w:p>
      <w:pPr>
        <w:pStyle w:val="Heading2"/>
      </w:pPr>
      <w:r>
        <w:rPr>
          <w:b/>
          <w:bCs/>
        </w:rPr>
        <w:t xml:space="preserve">D. Latency Performance</w:t>
      </w:r>
    </w:p>
    <w:p>
      <w:pPr>
        <w:spacing w:line="276"/>
        <w:ind w:firstLine="480"/>
      </w:pPr>
      <w:r>
        <w:rPr>
          <w:sz w:val="20"/>
          <w:szCs w:val="20"/>
        </w:rPr>
        <w:t xml:space="preserve">Figure 8 presents the cumulative distribution function of end-to-end latency. The proposed framework maintains 99.999% of packets below the 1 ms URLLC threshold, demonstrating compliance with the stringent latency requirements for safety-critical V2X applications. The tight latency distribution is achieved through proactive handover decisions and optimized RIS configurations that minimize signal processing delays.</w:t>
      </w:r>
    </w:p>
    <w:p>
      <w:pPr>
        <w:spacing w:after="100" w:before="200"/>
        <w:jc w:val="center"/>
      </w:pPr>
      <w:r>
        <w:drawing>
          <wp:inline distT="0" distB="0" distL="0" distR="0">
            <wp:extent cx="3619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286000"/>
                    </a:xfrm>
                    <a:prstGeom prst="rect">
                      <a:avLst/>
                    </a:prstGeom>
                  </pic:spPr>
                </pic:pic>
              </a:graphicData>
            </a:graphic>
          </wp:inline>
        </w:drawing>
      </w:r>
    </w:p>
    <w:p>
      <w:pPr>
        <w:spacing w:after="200"/>
        <w:jc w:val="center"/>
      </w:pPr>
      <w:r>
        <w:rPr>
          <w:i/>
          <w:iCs/>
          <w:sz w:val="18"/>
          <w:szCs w:val="18"/>
        </w:rPr>
        <w:t xml:space="preserve">Fig. 8. Cumulative Distribution Function of E2E Latency.</w:t>
      </w:r>
    </w:p>
    <w:p>
      <w:pPr>
        <w:pStyle w:val="Heading2"/>
      </w:pPr>
      <w:r>
        <w:rPr>
          <w:b/>
          <w:bCs/>
        </w:rPr>
        <w:t xml:space="preserve">E. Throughput Comparison</w:t>
      </w:r>
    </w:p>
    <w:p>
      <w:pPr>
        <w:spacing w:line="276"/>
        <w:ind w:firstLine="480"/>
      </w:pPr>
      <w:r>
        <w:rPr>
          <w:sz w:val="20"/>
          <w:szCs w:val="20"/>
        </w:rPr>
        <w:t xml:space="preserve">Table II presents a comprehensive performance comparison of the proposed framework against baseline approaches. The Agent Loop + MARL framework achieves the highest throughput of 1842 Mbps, representing a 15.3% improvement over the MARL-only baseline.</w:t>
      </w:r>
    </w:p>
    <w:p>
      <w:pPr>
        <w:spacing w:after="100" w:before="200"/>
        <w:jc w:val="center"/>
      </w:pPr>
      <w:r>
        <w:rPr>
          <w:b/>
          <w:bCs/>
          <w:sz w:val="18"/>
          <w:szCs w:val="18"/>
        </w:rPr>
        <w:t xml:space="preserve">TABLE II: PERFORMANCE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8"/>
        <w:gridCol w:w="1872"/>
        <w:gridCol w:w="1872"/>
        <w:gridCol w:w="1872"/>
        <w:gridCol w:w="1872"/>
      </w:tblGrid>
      <w:tr>
        <w:trPr>
          <w:tblHeader/>
        </w:trPr>
        <w:tc>
          <w:tcPr>
            <w:tcBorders>
              <w:top w:val="single" w:color="0B1220" w:sz="12"/>
              <w:left w:val="none"/>
              <w:bottom w:val="single" w:color="0B1220" w:sz="12"/>
              <w:right w:val="none"/>
            </w:tcBorders>
            <w:shd w:fill="F1F5F9" w:val="clear"/>
          </w:tcPr>
          <w:p>
            <w:pPr>
              <w:jc w:val="center"/>
            </w:pPr>
            <w:r>
              <w:rPr>
                <w:b/>
                <w:bCs/>
                <w:sz w:val="18"/>
                <w:szCs w:val="18"/>
              </w:rPr>
              <w:t xml:space="preserve">Method</w:t>
            </w:r>
          </w:p>
        </w:tc>
        <w:tc>
          <w:tcPr>
            <w:tcBorders>
              <w:top w:val="single" w:color="0B1220" w:sz="12"/>
              <w:left w:val="none"/>
              <w:bottom w:val="single" w:color="0B1220" w:sz="12"/>
              <w:right w:val="none"/>
            </w:tcBorders>
            <w:shd w:fill="F1F5F9" w:val="clear"/>
          </w:tcPr>
          <w:p>
            <w:pPr>
              <w:jc w:val="center"/>
            </w:pPr>
            <w:r>
              <w:rPr>
                <w:b/>
                <w:bCs/>
                <w:sz w:val="18"/>
                <w:szCs w:val="18"/>
              </w:rPr>
              <w:t xml:space="preserve">HSR (%)</w:t>
            </w:r>
          </w:p>
        </w:tc>
        <w:tc>
          <w:tcPr>
            <w:tcBorders>
              <w:top w:val="single" w:color="0B1220" w:sz="12"/>
              <w:left w:val="none"/>
              <w:bottom w:val="single" w:color="0B1220" w:sz="12"/>
              <w:right w:val="none"/>
            </w:tcBorders>
            <w:shd w:fill="F1F5F9" w:val="clear"/>
          </w:tcPr>
          <w:p>
            <w:pPr>
              <w:jc w:val="center"/>
            </w:pPr>
            <w:r>
              <w:rPr>
                <w:b/>
                <w:bCs/>
                <w:sz w:val="18"/>
                <w:szCs w:val="18"/>
              </w:rPr>
              <w:t xml:space="preserve">SINR (dB)</w:t>
            </w:r>
          </w:p>
        </w:tc>
        <w:tc>
          <w:tcPr>
            <w:tcBorders>
              <w:top w:val="single" w:color="0B1220" w:sz="12"/>
              <w:left w:val="none"/>
              <w:bottom w:val="single" w:color="0B1220" w:sz="12"/>
              <w:right w:val="none"/>
            </w:tcBorders>
            <w:shd w:fill="F1F5F9" w:val="clear"/>
          </w:tcPr>
          <w:p>
            <w:pPr>
              <w:jc w:val="center"/>
            </w:pPr>
            <w:r>
              <w:rPr>
                <w:b/>
                <w:bCs/>
                <w:sz w:val="18"/>
                <w:szCs w:val="18"/>
              </w:rPr>
              <w:t xml:space="preserve">Latency (ms)</w:t>
            </w:r>
          </w:p>
        </w:tc>
        <w:tc>
          <w:tcPr>
            <w:tcBorders>
              <w:top w:val="single" w:color="0B1220" w:sz="12"/>
              <w:left w:val="none"/>
              <w:bottom w:val="single" w:color="0B1220" w:sz="12"/>
              <w:right w:val="none"/>
            </w:tcBorders>
            <w:shd w:fill="F1F5F9" w:val="clear"/>
          </w:tcPr>
          <w:p>
            <w:pPr>
              <w:jc w:val="center"/>
            </w:pPr>
            <w:r>
              <w:rPr>
                <w:b/>
                <w:bCs/>
                <w:sz w:val="18"/>
                <w:szCs w:val="18"/>
              </w:rPr>
              <w:t xml:space="preserve">Throughput</w:t>
            </w:r>
          </w:p>
        </w:tc>
      </w:tr>
      <w:tr>
        <w:tc>
          <w:tcPr>
            <w:tcBorders>
              <w:top w:val="single" w:color="0B1220" w:sz="12"/>
              <w:left w:val="none"/>
              <w:bottom w:val="single" w:color="0B1220" w:sz="12"/>
              <w:right w:val="none"/>
            </w:tcBorders>
            <w:shd w:fill="E8F5E9" w:val="clear"/>
          </w:tcPr>
          <w:p>
            <w:r>
              <w:rPr>
                <w:b/>
                <w:bCs/>
                <w:sz w:val="18"/>
                <w:szCs w:val="18"/>
              </w:rPr>
              <w:t xml:space="preserve">Agent Loop + MARL</w:t>
            </w:r>
          </w:p>
        </w:tc>
        <w:tc>
          <w:tcPr>
            <w:tcBorders>
              <w:top w:val="single" w:color="0B1220" w:sz="12"/>
              <w:left w:val="none"/>
              <w:bottom w:val="single" w:color="0B1220" w:sz="12"/>
              <w:right w:val="none"/>
            </w:tcBorders>
            <w:shd w:fill="E8F5E9" w:val="clear"/>
          </w:tcPr>
          <w:p>
            <w:pPr>
              <w:jc w:val="center"/>
            </w:pPr>
            <w:r>
              <w:rPr>
                <w:b/>
                <w:bCs/>
                <w:sz w:val="18"/>
                <w:szCs w:val="18"/>
              </w:rPr>
              <w:t xml:space="preserve">98.5</w:t>
            </w:r>
          </w:p>
        </w:tc>
        <w:tc>
          <w:tcPr>
            <w:tcBorders>
              <w:top w:val="single" w:color="0B1220" w:sz="12"/>
              <w:left w:val="none"/>
              <w:bottom w:val="single" w:color="0B1220" w:sz="12"/>
              <w:right w:val="none"/>
            </w:tcBorders>
            <w:shd w:fill="E8F5E9" w:val="clear"/>
          </w:tcPr>
          <w:p>
            <w:pPr>
              <w:jc w:val="center"/>
            </w:pPr>
            <w:r>
              <w:rPr>
                <w:b/>
                <w:bCs/>
                <w:sz w:val="18"/>
                <w:szCs w:val="18"/>
              </w:rPr>
              <w:t xml:space="preserve">+8.2</w:t>
            </w:r>
          </w:p>
        </w:tc>
        <w:tc>
          <w:tcPr>
            <w:tcBorders>
              <w:top w:val="single" w:color="0B1220" w:sz="12"/>
              <w:left w:val="none"/>
              <w:bottom w:val="single" w:color="0B1220" w:sz="12"/>
              <w:right w:val="none"/>
            </w:tcBorders>
            <w:shd w:fill="E8F5E9" w:val="clear"/>
          </w:tcPr>
          <w:p>
            <w:pPr>
              <w:jc w:val="center"/>
            </w:pPr>
            <w:r>
              <w:rPr>
                <w:b/>
                <w:bCs/>
                <w:sz w:val="18"/>
                <w:szCs w:val="18"/>
              </w:rPr>
              <w:t xml:space="preserve">0.85</w:t>
            </w:r>
          </w:p>
        </w:tc>
        <w:tc>
          <w:tcPr>
            <w:tcBorders>
              <w:top w:val="single" w:color="0B1220" w:sz="12"/>
              <w:left w:val="none"/>
              <w:bottom w:val="single" w:color="0B1220" w:sz="12"/>
              <w:right w:val="none"/>
            </w:tcBorders>
            <w:shd w:fill="E8F5E9" w:val="clear"/>
          </w:tcPr>
          <w:p>
            <w:pPr>
              <w:jc w:val="center"/>
            </w:pPr>
            <w:r>
              <w:rPr>
                <w:b/>
                <w:bCs/>
                <w:sz w:val="18"/>
                <w:szCs w:val="18"/>
              </w:rPr>
              <w:t xml:space="preserve">+15.3%</w:t>
            </w:r>
          </w:p>
        </w:tc>
      </w:tr>
      <w:tr>
        <w:tc>
          <w:tcPr>
            <w:tcBorders>
              <w:top w:val="single" w:color="0B1220" w:sz="12"/>
              <w:left w:val="none"/>
              <w:bottom w:val="single" w:color="0B1220" w:sz="12"/>
              <w:right w:val="none"/>
            </w:tcBorders>
          </w:tcPr>
          <w:p>
            <w:r>
              <w:rPr>
                <w:sz w:val="18"/>
                <w:szCs w:val="18"/>
              </w:rPr>
              <w:t xml:space="preserve">MARL Only</w:t>
            </w:r>
          </w:p>
        </w:tc>
        <w:tc>
          <w:tcPr>
            <w:tcBorders>
              <w:top w:val="single" w:color="0B1220" w:sz="12"/>
              <w:left w:val="none"/>
              <w:bottom w:val="single" w:color="0B1220" w:sz="12"/>
              <w:right w:val="none"/>
            </w:tcBorders>
          </w:tcPr>
          <w:p>
            <w:pPr>
              <w:jc w:val="center"/>
            </w:pPr>
            <w:r>
              <w:rPr>
                <w:sz w:val="18"/>
                <w:szCs w:val="18"/>
              </w:rPr>
              <w:t xml:space="preserve">95.2</w:t>
            </w:r>
          </w:p>
        </w:tc>
        <w:tc>
          <w:tcPr>
            <w:tcBorders>
              <w:top w:val="single" w:color="0B1220" w:sz="12"/>
              <w:left w:val="none"/>
              <w:bottom w:val="single" w:color="0B1220" w:sz="12"/>
              <w:right w:val="none"/>
            </w:tcBorders>
          </w:tcPr>
          <w:p>
            <w:pPr>
              <w:jc w:val="center"/>
            </w:pPr>
            <w:r>
              <w:rPr>
                <w:sz w:val="18"/>
                <w:szCs w:val="18"/>
              </w:rPr>
              <w:t xml:space="preserve">+7.8</w:t>
            </w:r>
          </w:p>
        </w:tc>
        <w:tc>
          <w:tcPr>
            <w:tcBorders>
              <w:top w:val="single" w:color="0B1220" w:sz="12"/>
              <w:left w:val="none"/>
              <w:bottom w:val="single" w:color="0B1220" w:sz="12"/>
              <w:right w:val="none"/>
            </w:tcBorders>
          </w:tcPr>
          <w:p>
            <w:pPr>
              <w:jc w:val="center"/>
            </w:pPr>
            <w:r>
              <w:rPr>
                <w:sz w:val="18"/>
                <w:szCs w:val="18"/>
              </w:rPr>
              <w:t xml:space="preserve">0.92</w:t>
            </w:r>
          </w:p>
        </w:tc>
        <w:tc>
          <w:tcPr>
            <w:tcBorders>
              <w:top w:val="single" w:color="0B1220" w:sz="12"/>
              <w:left w:val="none"/>
              <w:bottom w:val="single" w:color="0B1220" w:sz="12"/>
              <w:right w:val="none"/>
            </w:tcBorders>
          </w:tcPr>
          <w:p>
            <w:pPr>
              <w:jc w:val="center"/>
            </w:pPr>
            <w:r>
              <w:rPr>
                <w:sz w:val="18"/>
                <w:szCs w:val="18"/>
              </w:rPr>
              <w:t xml:space="preserve">Baseline</w:t>
            </w:r>
          </w:p>
        </w:tc>
      </w:tr>
      <w:tr>
        <w:tc>
          <w:tcPr>
            <w:tcBorders>
              <w:top w:val="single" w:color="0B1220" w:sz="12"/>
              <w:left w:val="none"/>
              <w:bottom w:val="single" w:color="0B1220" w:sz="12"/>
              <w:right w:val="none"/>
            </w:tcBorders>
          </w:tcPr>
          <w:p>
            <w:r>
              <w:rPr>
                <w:sz w:val="18"/>
                <w:szCs w:val="18"/>
              </w:rPr>
              <w:t xml:space="preserve">Conventional HO</w:t>
            </w:r>
          </w:p>
        </w:tc>
        <w:tc>
          <w:tcPr>
            <w:tcBorders>
              <w:top w:val="single" w:color="0B1220" w:sz="12"/>
              <w:left w:val="none"/>
              <w:bottom w:val="single" w:color="0B1220" w:sz="12"/>
              <w:right w:val="none"/>
            </w:tcBorders>
          </w:tcPr>
          <w:p>
            <w:pPr>
              <w:jc w:val="center"/>
            </w:pPr>
            <w:r>
              <w:rPr>
                <w:sz w:val="18"/>
                <w:szCs w:val="18"/>
              </w:rPr>
              <w:t xml:space="preserve">87.3</w:t>
            </w:r>
          </w:p>
        </w:tc>
        <w:tc>
          <w:tcPr>
            <w:tcBorders>
              <w:top w:val="single" w:color="0B1220" w:sz="12"/>
              <w:left w:val="none"/>
              <w:bottom w:val="single" w:color="0B1220" w:sz="12"/>
              <w:right w:val="none"/>
            </w:tcBorders>
          </w:tcPr>
          <w:p>
            <w:pPr>
              <w:jc w:val="center"/>
            </w:pPr>
            <w:r>
              <w:rPr>
                <w:sz w:val="18"/>
                <w:szCs w:val="18"/>
              </w:rPr>
              <w:t xml:space="preserve">N/A</w:t>
            </w:r>
          </w:p>
        </w:tc>
        <w:tc>
          <w:tcPr>
            <w:tcBorders>
              <w:top w:val="single" w:color="0B1220" w:sz="12"/>
              <w:left w:val="none"/>
              <w:bottom w:val="single" w:color="0B1220" w:sz="12"/>
              <w:right w:val="none"/>
            </w:tcBorders>
          </w:tcPr>
          <w:p>
            <w:pPr>
              <w:jc w:val="center"/>
            </w:pPr>
            <w:r>
              <w:rPr>
                <w:sz w:val="18"/>
                <w:szCs w:val="18"/>
              </w:rPr>
              <w:t xml:space="preserve">1.45</w:t>
            </w:r>
          </w:p>
        </w:tc>
        <w:tc>
          <w:tcPr>
            <w:tcBorders>
              <w:top w:val="single" w:color="0B1220" w:sz="12"/>
              <w:left w:val="none"/>
              <w:bottom w:val="single" w:color="0B1220" w:sz="12"/>
              <w:right w:val="none"/>
            </w:tcBorders>
          </w:tcPr>
          <w:p>
            <w:pPr>
              <w:jc w:val="center"/>
            </w:pPr>
            <w:r>
              <w:rPr>
                <w:sz w:val="18"/>
                <w:szCs w:val="18"/>
              </w:rPr>
              <w:t xml:space="preserve">-23.7%</w:t>
            </w:r>
          </w:p>
        </w:tc>
      </w:tr>
      <w:tr>
        <w:tc>
          <w:tcPr>
            <w:tcBorders>
              <w:top w:val="single" w:color="0B1220" w:sz="12"/>
              <w:left w:val="none"/>
              <w:bottom w:val="single" w:color="0B1220" w:sz="12"/>
              <w:right w:val="none"/>
            </w:tcBorders>
          </w:tcPr>
          <w:p>
            <w:r>
              <w:rPr>
                <w:sz w:val="18"/>
                <w:szCs w:val="18"/>
              </w:rPr>
              <w:t xml:space="preserve">Static RIS</w:t>
            </w:r>
          </w:p>
        </w:tc>
        <w:tc>
          <w:tcPr>
            <w:tcBorders>
              <w:top w:val="single" w:color="0B1220" w:sz="12"/>
              <w:left w:val="none"/>
              <w:bottom w:val="single" w:color="0B1220" w:sz="12"/>
              <w:right w:val="none"/>
            </w:tcBorders>
          </w:tcPr>
          <w:p>
            <w:pPr>
              <w:jc w:val="center"/>
            </w:pPr>
            <w:r>
              <w:rPr>
                <w:sz w:val="18"/>
                <w:szCs w:val="18"/>
              </w:rPr>
              <w:t xml:space="preserve">91.8</w:t>
            </w:r>
          </w:p>
        </w:tc>
        <w:tc>
          <w:tcPr>
            <w:tcBorders>
              <w:top w:val="single" w:color="0B1220" w:sz="12"/>
              <w:left w:val="none"/>
              <w:bottom w:val="single" w:color="0B1220" w:sz="12"/>
              <w:right w:val="none"/>
            </w:tcBorders>
          </w:tcPr>
          <w:p>
            <w:pPr>
              <w:jc w:val="center"/>
            </w:pPr>
            <w:r>
              <w:rPr>
                <w:sz w:val="18"/>
                <w:szCs w:val="18"/>
              </w:rPr>
              <w:t xml:space="preserve">+5.1</w:t>
            </w:r>
          </w:p>
        </w:tc>
        <w:tc>
          <w:tcPr>
            <w:tcBorders>
              <w:top w:val="single" w:color="0B1220" w:sz="12"/>
              <w:left w:val="none"/>
              <w:bottom w:val="single" w:color="0B1220" w:sz="12"/>
              <w:right w:val="none"/>
            </w:tcBorders>
          </w:tcPr>
          <w:p>
            <w:pPr>
              <w:jc w:val="center"/>
            </w:pPr>
            <w:r>
              <w:rPr>
                <w:sz w:val="18"/>
                <w:szCs w:val="18"/>
              </w:rPr>
              <w:t xml:space="preserve">1.12</w:t>
            </w:r>
          </w:p>
        </w:tc>
        <w:tc>
          <w:tcPr>
            <w:tcBorders>
              <w:top w:val="single" w:color="0B1220" w:sz="12"/>
              <w:left w:val="none"/>
              <w:bottom w:val="single" w:color="0B1220" w:sz="12"/>
              <w:right w:val="none"/>
            </w:tcBorders>
          </w:tcPr>
          <w:p>
            <w:pPr>
              <w:jc w:val="center"/>
            </w:pPr>
            <w:r>
              <w:rPr>
                <w:sz w:val="18"/>
                <w:szCs w:val="18"/>
              </w:rPr>
              <w:t xml:space="preserve">-12.4%</w:t>
            </w:r>
          </w:p>
        </w:tc>
      </w:tr>
      <w:tr>
        <w:tc>
          <w:tcPr>
            <w:tcBorders>
              <w:top w:val="single" w:color="0B1220" w:sz="12"/>
              <w:left w:val="none"/>
              <w:bottom w:val="single" w:color="0B1220" w:sz="12"/>
              <w:right w:val="none"/>
            </w:tcBorders>
          </w:tcPr>
          <w:p>
            <w:r>
              <w:rPr>
                <w:sz w:val="18"/>
                <w:szCs w:val="18"/>
              </w:rPr>
              <w:t xml:space="preserve">Single-Agent RL</w:t>
            </w:r>
          </w:p>
        </w:tc>
        <w:tc>
          <w:tcPr>
            <w:tcBorders>
              <w:top w:val="single" w:color="0B1220" w:sz="12"/>
              <w:left w:val="none"/>
              <w:bottom w:val="single" w:color="0B1220" w:sz="12"/>
              <w:right w:val="none"/>
            </w:tcBorders>
          </w:tcPr>
          <w:p>
            <w:pPr>
              <w:jc w:val="center"/>
            </w:pPr>
            <w:r>
              <w:rPr>
                <w:sz w:val="18"/>
                <w:szCs w:val="18"/>
              </w:rPr>
              <w:t xml:space="preserve">89.6</w:t>
            </w:r>
          </w:p>
        </w:tc>
        <w:tc>
          <w:tcPr>
            <w:tcBorders>
              <w:top w:val="single" w:color="0B1220" w:sz="12"/>
              <w:left w:val="none"/>
              <w:bottom w:val="single" w:color="0B1220" w:sz="12"/>
              <w:right w:val="none"/>
            </w:tcBorders>
          </w:tcPr>
          <w:p>
            <w:pPr>
              <w:jc w:val="center"/>
            </w:pPr>
            <w:r>
              <w:rPr>
                <w:sz w:val="18"/>
                <w:szCs w:val="18"/>
              </w:rPr>
              <w:t xml:space="preserve">+4.3</w:t>
            </w:r>
          </w:p>
        </w:tc>
        <w:tc>
          <w:tcPr>
            <w:tcBorders>
              <w:top w:val="single" w:color="0B1220" w:sz="12"/>
              <w:left w:val="none"/>
              <w:bottom w:val="single" w:color="0B1220" w:sz="12"/>
              <w:right w:val="none"/>
            </w:tcBorders>
          </w:tcPr>
          <w:p>
            <w:pPr>
              <w:jc w:val="center"/>
            </w:pPr>
            <w:r>
              <w:rPr>
                <w:sz w:val="18"/>
                <w:szCs w:val="18"/>
              </w:rPr>
              <w:t xml:space="preserve">1.28</w:t>
            </w:r>
          </w:p>
        </w:tc>
        <w:tc>
          <w:tcPr>
            <w:tcBorders>
              <w:top w:val="single" w:color="0B1220" w:sz="12"/>
              <w:left w:val="none"/>
              <w:bottom w:val="single" w:color="0B1220" w:sz="12"/>
              <w:right w:val="none"/>
            </w:tcBorders>
          </w:tcPr>
          <w:p>
            <w:pPr>
              <w:jc w:val="center"/>
            </w:pPr>
            <w:r>
              <w:rPr>
                <w:sz w:val="18"/>
                <w:szCs w:val="18"/>
              </w:rPr>
              <w:t xml:space="preserve">-18.5%</w:t>
            </w:r>
          </w:p>
        </w:tc>
      </w:tr>
    </w:tbl>
    <w:p>
      <w:pPr>
        <w:spacing w:after="100" w:before="200"/>
        <w:jc w:val="center"/>
      </w:pPr>
      <w:r>
        <w:drawing>
          <wp:inline distT="0" distB="0" distL="0" distR="0">
            <wp:extent cx="4286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190750"/>
                    </a:xfrm>
                    <a:prstGeom prst="rect">
                      <a:avLst/>
                    </a:prstGeom>
                  </pic:spPr>
                </pic:pic>
              </a:graphicData>
            </a:graphic>
          </wp:inline>
        </w:drawing>
      </w:r>
    </w:p>
    <w:p>
      <w:pPr>
        <w:spacing w:after="200"/>
        <w:jc w:val="center"/>
      </w:pPr>
      <w:r>
        <w:rPr>
          <w:i/>
          <w:iCs/>
          <w:sz w:val="18"/>
          <w:szCs w:val="18"/>
        </w:rPr>
        <w:t xml:space="preserve">Fig. 9. Network Throughput Performance Comparison.</w:t>
      </w:r>
    </w:p>
    <w:p>
      <w:pPr>
        <w:pStyle w:val="Heading2"/>
      </w:pPr>
      <w:r>
        <w:rPr>
          <w:b/>
          <w:bCs/>
        </w:rPr>
        <w:t xml:space="preserve">F. Training Convergence</w:t>
      </w:r>
    </w:p>
    <w:p>
      <w:pPr>
        <w:spacing w:line="276"/>
        <w:ind w:firstLine="480"/>
      </w:pPr>
      <w:r>
        <w:rPr>
          <w:sz w:val="20"/>
          <w:szCs w:val="20"/>
        </w:rPr>
        <w:t xml:space="preserve">Figure 10 shows the training convergence curves for QMIX and MAPPO algorithms. Both algorithms converge within approximately 5000 episodes, with MAPPO achieving slightly higher final rewards. The convergence behavior validates the theoretical analysis in Section V-C.</w:t>
      </w:r>
    </w:p>
    <w:p>
      <w:pPr>
        <w:spacing w:after="100" w:before="200"/>
        <w:jc w:val="center"/>
      </w:pPr>
      <w:r>
        <w:drawing>
          <wp:inline distT="0" distB="0" distL="0" distR="0">
            <wp:extent cx="4953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095500"/>
                    </a:xfrm>
                    <a:prstGeom prst="rect">
                      <a:avLst/>
                    </a:prstGeom>
                  </pic:spPr>
                </pic:pic>
              </a:graphicData>
            </a:graphic>
          </wp:inline>
        </w:drawing>
      </w:r>
    </w:p>
    <w:p>
      <w:pPr>
        <w:spacing w:after="200"/>
        <w:jc w:val="center"/>
      </w:pPr>
      <w:r>
        <w:rPr>
          <w:i/>
          <w:iCs/>
          <w:sz w:val="18"/>
          <w:szCs w:val="18"/>
        </w:rPr>
        <w:t xml:space="preserve">Fig. 10. Training Convergence Curves for MARL Algorithms.</w:t>
      </w:r>
    </w:p>
    <w:p>
      <w:pPr>
        <w:pStyle w:val="Heading1"/>
      </w:pPr>
      <w:r>
        <w:rPr>
          <w:b/>
          <w:bCs/>
        </w:rPr>
        <w:t xml:space="preserve">VII. CONCLUSION</w:t>
      </w:r>
    </w:p>
    <w:p>
      <w:pPr>
        <w:spacing w:line="276"/>
        <w:ind w:firstLine="480"/>
      </w:pPr>
      <w:r>
        <w:rPr>
          <w:sz w:val="20"/>
          <w:szCs w:val="20"/>
        </w:rPr>
        <w:t xml:space="preserve">This paper presented a novel AI Agent-based framework for mobility management in 6G V2X networks with RIS assistance. By integrating the Agent Loop Pattern from NetOps-Guardian-AI with MARL algorithms (QMIX and MAPPO), we achieved a robust and reliable decision-making framework suitable for safety-critical vehicular applications. The proposed framework demonstrates significant performance improvements, including 98.5% handover success rate at speeds up to 500 km/h, 8.2 dB SINR improvement through intelligent RIS optimization, and URLLC-compliant latency below 1 ms with 99.999% reliability.</w:t>
      </w:r>
    </w:p>
    <w:p>
      <w:pPr>
        <w:spacing w:line="276"/>
        <w:ind w:firstLine="480"/>
      </w:pPr>
      <w:r>
        <w:rPr>
          <w:sz w:val="20"/>
          <w:szCs w:val="20"/>
        </w:rPr>
        <w:t xml:space="preserve">The theoretical analysis using Lyapunov stability theory provides convergence guarantees for the proposed MARL algorithms, establishing a rigorous foundation for practical deployment. The Agent Loop Pattern's validation phase ensures that only verified actions are executed, significantly reducing the risk of decision failures in safety-critical scenarios.</w:t>
      </w:r>
    </w:p>
    <w:p>
      <w:pPr>
        <w:spacing w:line="276"/>
        <w:ind w:firstLine="480"/>
      </w:pPr>
      <w:r>
        <w:rPr>
          <w:sz w:val="20"/>
          <w:szCs w:val="20"/>
        </w:rPr>
        <w:t xml:space="preserve">Future work will extend the framework to incorporate federated learning for privacy-preserving distributed training, investigate platoon-based cooperative driving scenarios that leverage inter-vehicle coordination, and explore the integration with edge computing for reduced decision latency. Additionally, we plan to investigate the application of transformer-based architectures for improved trajectory prediction and context-aware decision making.</w:t>
      </w:r>
    </w:p>
    <w:p>
      <w:pPr>
        <w:pStyle w:val="Heading1"/>
      </w:pPr>
      <w:r>
        <w:rPr>
          <w:b/>
          <w:bCs/>
        </w:rPr>
        <w:t xml:space="preserve">REFERENCES</w:t>
      </w:r>
    </w:p>
    <w:p>
      <w:pPr>
        <w:spacing w:line="276"/>
      </w:pPr>
      <w:r>
        <w:rPr>
          <w:sz w:val="18"/>
          <w:szCs w:val="18"/>
        </w:rPr>
        <w:t xml:space="preserve">[1] Q. Wu and R. Zhang, "Intelligent reflecting surface enhanced wireless network via joint active and passive beamforming," IEEE Trans. Wireless Commun., vol. 18, no. 11, pp. 5394-5409, Nov. 2019.</w:t>
      </w:r>
    </w:p>
    <w:p>
      <w:pPr>
        <w:spacing w:line="276"/>
      </w:pPr>
      <w:r>
        <w:rPr>
          <w:sz w:val="18"/>
          <w:szCs w:val="18"/>
        </w:rPr>
        <w:t xml:space="preserve">[2] M. Di Renzo et al., "Smart radio environments empowered by reconfigurable intelligent surfaces," IEEE J. Sel. Areas Commun., vol. 38, no. 11, pp. 2450-2525, Nov. 2020.</w:t>
      </w:r>
    </w:p>
    <w:p>
      <w:pPr>
        <w:spacing w:line="276"/>
      </w:pPr>
      <w:r>
        <w:rPr>
          <w:sz w:val="18"/>
          <w:szCs w:val="18"/>
        </w:rPr>
        <w:t xml:space="preserve">[3] E. Bjornson, O. Ozdogan, and E. G. Larsson, "Reconfigurable intelligent surfaces: Three myths and two critical questions," IEEE Commun. Mag., vol. 58, no. 12, pp. 90-96, Dec. 2020.</w:t>
      </w:r>
    </w:p>
    <w:p>
      <w:pPr>
        <w:spacing w:line="276"/>
      </w:pPr>
      <w:r>
        <w:rPr>
          <w:sz w:val="18"/>
          <w:szCs w:val="18"/>
        </w:rPr>
        <w:t xml:space="preserve">[4] Y. Liu et al., "Reconfigurable intelligent surfaces: Principles and opportunities," IEEE Commun. Surv. Tuts., vol. 23, no. 3, pp. 1546-1577, 3rd Quart. 2021.</w:t>
      </w:r>
    </w:p>
    <w:p>
      <w:pPr>
        <w:spacing w:line="276"/>
      </w:pPr>
      <w:r>
        <w:rPr>
          <w:sz w:val="18"/>
          <w:szCs w:val="18"/>
        </w:rPr>
        <w:t xml:space="preserve">[5] T. Rashid et al., "QMIX: Monotonic value function factorisation for deep multi-agent reinforcement learning," in Proc. ICML, 2018, pp. 4295-4304.</w:t>
      </w:r>
    </w:p>
    <w:p>
      <w:pPr>
        <w:spacing w:line="276"/>
      </w:pPr>
      <w:r>
        <w:rPr>
          <w:sz w:val="18"/>
          <w:szCs w:val="18"/>
        </w:rPr>
        <w:t xml:space="preserve">[6] C. Yu et al., "The surprising effectiveness of PPO in cooperative multi-agent games," in Proc. NeurIPS, 2022.</w:t>
      </w:r>
    </w:p>
    <w:p>
      <w:pPr>
        <w:spacing w:line="276"/>
      </w:pPr>
      <w:r>
        <w:rPr>
          <w:sz w:val="18"/>
          <w:szCs w:val="18"/>
        </w:rPr>
        <w:t xml:space="preserve">[7] P. Sunehag et al., "Value-decomposition networks for cooperative multi-agent learning," in Proc. AAMAS, 2018, pp. 2085-2087.</w:t>
      </w:r>
    </w:p>
    <w:p>
      <w:pPr>
        <w:spacing w:line="276"/>
      </w:pPr>
      <w:r>
        <w:rPr>
          <w:sz w:val="18"/>
          <w:szCs w:val="18"/>
        </w:rPr>
        <w:t xml:space="preserve">[8] J. Foerster et al., "Counterfactual multi-agent policy gradients," in Proc. AAAI, 2018, pp. 2974-2982.</w:t>
      </w:r>
    </w:p>
    <w:p>
      <w:pPr>
        <w:spacing w:line="276"/>
      </w:pPr>
      <w:r>
        <w:rPr>
          <w:sz w:val="18"/>
          <w:szCs w:val="18"/>
        </w:rPr>
        <w:t xml:space="preserve">[9] A. A. Al-Sahati and H. Chihi, "NetOps-Guardian-AI: A unified autonomous network operations platform," GitHub Repository, 2026. [Online]. Available: https://github.com/Chihi-Sahati/NetOps-Guardian-AI-</w:t>
      </w:r>
    </w:p>
    <w:p>
      <w:pPr>
        <w:spacing w:line="276"/>
      </w:pPr>
      <w:r>
        <w:rPr>
          <w:sz w:val="18"/>
          <w:szCs w:val="18"/>
        </w:rPr>
        <w:t xml:space="preserve">[10] Y. Liang et al., "Reinforcement learning with function approximation: Applications to robotic manipulators," IEEE Trans. Neural Netw., vol. 16, no. 2, pp. 380-390, Mar. 2005.</w:t>
      </w:r>
    </w:p>
    <w:p>
      <w:pPr>
        <w:spacing w:line="276"/>
      </w:pPr>
      <w:r>
        <w:rPr>
          <w:sz w:val="18"/>
          <w:szCs w:val="18"/>
        </w:rPr>
        <w:t xml:space="preserve">[11] 3GPP, "Study on channel model for frequencies from 0.5 to 100 GHz," 3GPP TR 38.901 V16.1.0, 2020.</w:t>
      </w:r>
    </w:p>
    <w:p>
      <w:pPr>
        <w:spacing w:line="276"/>
      </w:pPr>
      <w:r>
        <w:rPr>
          <w:sz w:val="18"/>
          <w:szCs w:val="18"/>
        </w:rPr>
        <w:t xml:space="preserve">[12] W. Saad, M. Bennis, and M. Chen, "A vision of 6G wireless systems: Applications, enabling technologies, and research challenges," IEEE Netw., vol. 34, no. 3, pp. 134-142, May 2020.</w:t>
      </w:r>
    </w:p>
    <w:p>
      <w:pPr>
        <w:spacing w:line="276"/>
      </w:pPr>
      <w:r>
        <w:rPr>
          <w:sz w:val="18"/>
          <w:szCs w:val="18"/>
        </w:rPr>
        <w:t xml:space="preserve">[13] K. B. Letaief et al., "The roadmap to 6G: AI empowered wireless networks," IEEE Commun. Mag., vol. 57, no. 8, pp. 84-90, Aug. 2019.</w:t>
      </w:r>
    </w:p>
    <w:p>
      <w:pPr>
        <w:spacing w:line="276"/>
      </w:pPr>
      <w:r>
        <w:rPr>
          <w:sz w:val="18"/>
          <w:szCs w:val="18"/>
        </w:rPr>
        <w:t xml:space="preserve">[14] J. Wang et al., "Joint optimization of RIS phase shifts and resource allocation for V2X communications," IEEE Trans. Veh. Technol., vol. 72, no. 4, pp. 5123-5138, Apr. 2023.</w:t>
      </w:r>
    </w:p>
    <w:p>
      <w:pPr>
        <w:spacing w:line="276"/>
      </w:pPr>
      <w:r>
        <w:rPr>
          <w:sz w:val="18"/>
          <w:szCs w:val="18"/>
        </w:rPr>
        <w:t xml:space="preserve">[15] H. Ye, G. Y. Li, and B. H. F. Juang, "Deep reinforcement learning based resource allocation for V2V communications," IEEE Trans. Veh. Technol., vol. 68, no. 4, pp. 3163-3173, Apr. 2019.</w:t>
      </w:r>
    </w:p>
    <w:p>
      <w:r>
        <w:rPr>
          <w:sz w:val="20"/>
          <w:szCs w:val="20"/>
        </w:rPr>
        <w:t xml:space="preserve"/>
      </w:r>
    </w:p>
    <w:p>
      <w:pPr>
        <w:pStyle w:val="Heading1"/>
      </w:pPr>
      <w:r>
        <w:rPr>
          <w:b/>
          <w:bCs/>
        </w:rPr>
        <w:t xml:space="preserve">BIOGRAPHIES</w:t>
      </w:r>
    </w:p>
    <w:p>
      <w:pPr>
        <w:spacing w:line="276"/>
      </w:pPr>
      <w:r>
        <w:rPr>
          <w:b/>
          <w:bCs/>
          <w:sz w:val="20"/>
          <w:szCs w:val="20"/>
        </w:rPr>
        <w:t xml:space="preserve">AlHussein A. Al-Sahati</w:t>
      </w:r>
      <w:r>
        <w:rPr>
          <w:sz w:val="20"/>
          <w:szCs w:val="20"/>
        </w:rPr>
        <w:t xml:space="preserve"> (Member, IEEE) received the B.Sc. degree in electrical engineering from the University of Benghazi, Libya, in 2015, and the M.Sc. degree in telecommunications from the Higher School of Communication of Tunis (Sup'Com), University of Carthage, Tunisia, in 2023. He is currently a Researcher at the Military Academy for Security and Strategic Sciences, Benghazi, Libya. His research interests include 6G networks, intelligent reflecting surfaces, vehicular communications, and artificial intelligence for wireless networks. Mr. Al-Sahati is a member of the IEEE Communications Society and the IEEE Vehicular Technology Society.</w:t>
      </w:r>
    </w:p>
    <w:p>
      <w:pPr>
        <w:spacing w:before="200" w:line="276"/>
      </w:pPr>
      <w:r>
        <w:rPr>
          <w:b/>
          <w:bCs/>
          <w:sz w:val="20"/>
          <w:szCs w:val="20"/>
        </w:rPr>
        <w:t xml:space="preserve">Houda Chihi</w:t>
      </w:r>
      <w:r>
        <w:rPr>
          <w:sz w:val="20"/>
          <w:szCs w:val="20"/>
        </w:rPr>
        <w:t xml:space="preserve"> (Senior Member, IEEE) received the Engineering degree in telecommunications, the M.Sc. degree, and the Ph.D. degree in information and communication technologies from the Higher School of Communication of Tunis (Sup'Com), University of Carthage, Tunisia, in 2005, 2006, and 2012, respectively. She is currently an Associate Professor at Sup'Com and the Head of the InnovCOM Laboratory. Her research interests include wireless communications, cognitive radio networks, 5G/6G networks, and artificial intelligence for communications. Dr. Chihi has published over 50 peer-reviewed papers in international journals and conferences. She serves as a reviewer for several IEEE journals and has been involved in multiple international research projects.</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IEEE TRANSACTIONS ON VEHICULAR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150" w:before="30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2"/>
      <w:szCs w:val="22"/>
    </w:rPr>
  </w:style>
  <w:style w:type="paragraph" w:styleId="Heading3">
    <w:name w:val="Heading 3"/>
    <w:basedOn w:val="Normal"/>
    <w:next w:val="Normal"/>
    <w:qFormat/>
    <w:pPr>
      <w:spacing w:after="80" w:before="150"/>
      <w:outlineLvl w:val="2"/>
    </w:pPr>
    <w:rPr>
      <w:rFonts w:ascii="Times New Roman" w:cs="Times New Roman" w:eastAsia="Times New Roman" w:hAnsi="Times New Roman"/>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b802afd01019017e897dc77f3b40b1f8ed3612.png"/><Relationship Id="rId10" Type="http://schemas.openxmlformats.org/officeDocument/2006/relationships/image" Target="media/3081dd874c5fa92dfc34ff604764de531cf9b881.png"/><Relationship Id="rId11" Type="http://schemas.openxmlformats.org/officeDocument/2006/relationships/image" Target="media/00efa7d2a9132bef4f1db22f3635966ba2caef45.png"/><Relationship Id="rId12" Type="http://schemas.openxmlformats.org/officeDocument/2006/relationships/image" Target="media/78b4a4de02795b47fb21a6085c6c2fa4316382fc.png"/><Relationship Id="rId13" Type="http://schemas.openxmlformats.org/officeDocument/2006/relationships/image" Target="media/e3a24ede65680b0e6f998e3cbb687a53bbb031db.png"/><Relationship Id="rId14" Type="http://schemas.openxmlformats.org/officeDocument/2006/relationships/image" Target="media/d0e0ae98065c95ff0db4a301dac6ad96d69b6bf9.png"/><Relationship Id="rId15" Type="http://schemas.openxmlformats.org/officeDocument/2006/relationships/image" Target="media/6b465b70bff344e97ad01162d960c52f71f6f394.png"/><Relationship Id="rId16" Type="http://schemas.openxmlformats.org/officeDocument/2006/relationships/image" Target="media/c3742c54ddc5eee0e043f5873250fd26505a8ec4.png"/><Relationship Id="rId17" Type="http://schemas.openxmlformats.org/officeDocument/2006/relationships/image" Target="media/c75f4422b39023e938d970c9b742f6c57237a5c4.png"/><Relationship Id="rId18" Type="http://schemas.openxmlformats.org/officeDocument/2006/relationships/image" Target="media/444a223fef0ec3629b891e465075c512e1d619c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2026-03-24T14:04:43.294Z</dcterms:created>
  <dcterms:modified xsi:type="dcterms:W3CDTF">2026-03-24T14:04:43.294Z</dcterms:modified>
</cp:coreProperties>
</file>

<file path=docProps/custom.xml><?xml version="1.0" encoding="utf-8"?>
<Properties xmlns="http://schemas.openxmlformats.org/officeDocument/2006/custom-properties" xmlns:vt="http://schemas.openxmlformats.org/officeDocument/2006/docPropsVTypes"/>
</file>